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152C15">
        <w:rPr>
          <w:rFonts w:asciiTheme="minorHAnsi" w:hAnsiTheme="minorHAnsi" w:cstheme="minorHAnsi"/>
          <w:sz w:val="20"/>
          <w:szCs w:val="20"/>
        </w:rPr>
        <w:t>2</w:t>
      </w:r>
      <w:r w:rsidR="00C9021D">
        <w:rPr>
          <w:rFonts w:asciiTheme="minorHAnsi" w:hAnsiTheme="minorHAnsi" w:cstheme="minorHAnsi"/>
          <w:sz w:val="20"/>
          <w:szCs w:val="20"/>
        </w:rPr>
        <w:t>1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1366B8">
        <w:rPr>
          <w:rFonts w:asciiTheme="minorHAnsi" w:hAnsiTheme="minorHAnsi" w:cstheme="minorHAnsi"/>
          <w:sz w:val="20"/>
          <w:szCs w:val="20"/>
        </w:rPr>
        <w:t>04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1366B8">
        <w:rPr>
          <w:rFonts w:asciiTheme="minorHAnsi" w:hAnsiTheme="minorHAnsi" w:cstheme="minorHAnsi"/>
          <w:sz w:val="20"/>
          <w:szCs w:val="20"/>
        </w:rPr>
        <w:t>4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C9021D">
        <w:rPr>
          <w:rFonts w:asciiTheme="minorHAnsi" w:hAnsiTheme="minorHAnsi" w:cstheme="minorHAnsi"/>
          <w:b/>
          <w:sz w:val="20"/>
          <w:szCs w:val="20"/>
        </w:rPr>
        <w:t>preparatów do żywienia pozajelitowego, dojelitowego i doustnego, zestawów do podaży żywienia dojelitowego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1366B8" w:rsidRDefault="001366B8" w:rsidP="001366B8">
      <w:pPr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 xml:space="preserve">Pytania do wzoru umowy: </w:t>
      </w:r>
    </w:p>
    <w:p w:rsidR="001366B8" w:rsidRDefault="001366B8" w:rsidP="001366B8">
      <w:pPr>
        <w:rPr>
          <w:rFonts w:ascii="Poppins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</w:rPr>
        <w:t>Do §1 ust. 3 wzoru umowy.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1366B8" w:rsidRDefault="001366B8" w:rsidP="001366B8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 xml:space="preserve">Do §2 ust. 7 wzoru umowy: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1366B8" w:rsidRDefault="001366B8" w:rsidP="001366B8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1366B8" w:rsidRDefault="001366B8" w:rsidP="001366B8">
      <w:pPr>
        <w:ind w:left="720"/>
        <w:rPr>
          <w:rFonts w:ascii="Poppins" w:eastAsiaTheme="minorHAnsi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1366B8" w:rsidRDefault="001366B8" w:rsidP="001366B8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</w:rPr>
        <w:lastRenderedPageBreak/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1) </w:t>
      </w:r>
      <w:r>
        <w:rPr>
          <w:rFonts w:ascii="Poppins" w:eastAsia="Times New Roman" w:hAnsi="Poppins" w:cs="Poppins"/>
          <w:sz w:val="20"/>
          <w:szCs w:val="20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1366B8" w:rsidRDefault="001366B8" w:rsidP="001366B8">
      <w:pPr>
        <w:rPr>
          <w:rFonts w:ascii="Poppins" w:eastAsiaTheme="minorHAnsi" w:hAnsi="Poppins" w:cs="Poppins"/>
          <w:color w:val="000000"/>
          <w:sz w:val="20"/>
          <w:szCs w:val="20"/>
        </w:rPr>
      </w:pPr>
    </w:p>
    <w:p w:rsidR="001366B8" w:rsidRDefault="001366B8" w:rsidP="001366B8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2) </w:t>
      </w:r>
      <w:r>
        <w:rPr>
          <w:rFonts w:ascii="Poppins" w:eastAsia="Times New Roman" w:hAnsi="Poppins" w:cs="Poppins"/>
          <w:sz w:val="20"/>
          <w:szCs w:val="20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umowy: Czy Zamawiający wyrazi zgodę na zmianę zapisu dotyczącego kary umownej za opóźnienie w wymianie reklamowanego przedmiotu umowy poprzez wprowadzenie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zapisu o karze w wysokości 1% wartości brutto przedmiotu zamówienia podlegającego reklamacji za każdy dzień opóźnienia? </w:t>
      </w:r>
    </w:p>
    <w:p w:rsidR="00F03C75" w:rsidRDefault="00F03C75" w:rsidP="001366B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366B8" w:rsidRDefault="001366B8" w:rsidP="00F03C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35022" w:rsidRDefault="005B3AF4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3AF4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F03C75" w:rsidRDefault="00F03C75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081C" w:rsidRPr="00E97A12" w:rsidRDefault="0056081C" w:rsidP="0056081C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  <w:r>
        <w:rPr>
          <w:rFonts w:asciiTheme="minorHAnsi" w:hAnsiTheme="minorHAnsi" w:cstheme="minorHAnsi"/>
          <w:sz w:val="20"/>
          <w:szCs w:val="20"/>
        </w:rPr>
        <w:t>I</w:t>
      </w:r>
    </w:p>
    <w:p w:rsidR="00F03C75" w:rsidRDefault="00F03C75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  <w:r w:rsidRPr="00F43D03">
        <w:rPr>
          <w:b/>
          <w:bCs/>
          <w:shd w:val="clear" w:color="auto" w:fill="FFFFFF"/>
        </w:rPr>
        <w:t xml:space="preserve">Pakiet 1.poz 1 </w:t>
      </w: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shd w:val="clear" w:color="auto" w:fill="FFFFFF"/>
        </w:rPr>
      </w:pPr>
      <w:r w:rsidRPr="00F43D03">
        <w:rPr>
          <w:shd w:val="clear" w:color="auto" w:fill="FFFFFF"/>
        </w:rPr>
        <w:t>Czy Zamawiający wymaga zaoferowania czteroskładnikowej emulsji tłuszczowej zawierającej: tłuszcze LCT, tłuszcze MCT, olej z oliwek, olej rybny?</w:t>
      </w: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  <w:r w:rsidRPr="00F43D03">
        <w:rPr>
          <w:b/>
          <w:bCs/>
          <w:shd w:val="clear" w:color="auto" w:fill="FFFFFF"/>
        </w:rPr>
        <w:t xml:space="preserve">Pakiet 1 poz.2  </w:t>
      </w: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shd w:val="clear" w:color="auto" w:fill="FFFFFF"/>
        </w:rPr>
      </w:pPr>
      <w:r w:rsidRPr="00F43D03">
        <w:rPr>
          <w:shd w:val="clear" w:color="auto" w:fill="FFFFFF"/>
        </w:rPr>
        <w:t>Czy Zamawiający wymaga zaoferowania aminokwasów do żywienia pozajelitowego pacjentów z zaburzeniami czynności nerek o stężeniu 10% zawartość azotu 16,3g/l w opakowaniu 500 ml?</w:t>
      </w: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</w:p>
    <w:p w:rsidR="00A7045F" w:rsidRPr="00F43D03" w:rsidRDefault="00A7045F" w:rsidP="00A7045F">
      <w:pPr>
        <w:pStyle w:val="Default"/>
        <w:rPr>
          <w:color w:val="auto"/>
          <w:sz w:val="22"/>
          <w:szCs w:val="22"/>
        </w:rPr>
      </w:pPr>
    </w:p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  <w:r w:rsidRPr="00F43D03">
        <w:rPr>
          <w:b/>
          <w:bCs/>
        </w:rPr>
        <w:t xml:space="preserve"> Dotyczy § 1 ust. 4 umowy</w:t>
      </w:r>
    </w:p>
    <w:p w:rsidR="00A7045F" w:rsidRPr="00F43D03" w:rsidRDefault="00A7045F" w:rsidP="00A7045F">
      <w:r w:rsidRPr="00F43D03">
        <w:t>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A7045F" w:rsidRPr="00F43D03" w:rsidRDefault="00A7045F" w:rsidP="00A7045F"/>
    <w:p w:rsidR="00A7045F" w:rsidRPr="00F43D03" w:rsidRDefault="00A7045F" w:rsidP="00A7045F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</w:rPr>
      </w:pPr>
      <w:r w:rsidRPr="00F43D03">
        <w:rPr>
          <w:b/>
          <w:bCs/>
        </w:rPr>
        <w:t>Dotyczy § 2 ust. 2 umowy</w:t>
      </w:r>
    </w:p>
    <w:p w:rsidR="00A7045F" w:rsidRPr="007A5608" w:rsidRDefault="00A7045F" w:rsidP="00A7045F">
      <w:r w:rsidRPr="00F43D03">
        <w:t>Czy Zamawiający wyrazi zgodę na dodanie zapisu: Zamówienia będą składane do godziny 13:00. Zamówienia złożone po godzinie 13:00 należy traktować jako złożone w kolejnym dniu roboczym.</w:t>
      </w:r>
    </w:p>
    <w:p w:rsidR="00A7045F" w:rsidRPr="007A5608" w:rsidRDefault="00A7045F" w:rsidP="00A7045F">
      <w:pPr>
        <w:autoSpaceDE w:val="0"/>
        <w:autoSpaceDN w:val="0"/>
        <w:adjustRightInd w:val="0"/>
      </w:pPr>
      <w:r w:rsidRPr="007A5608">
        <w:lastRenderedPageBreak/>
        <w:t xml:space="preserve"> </w:t>
      </w:r>
    </w:p>
    <w:p w:rsidR="00A7045F" w:rsidRPr="00F43D03" w:rsidRDefault="00A7045F" w:rsidP="00A7045F">
      <w:pPr>
        <w:autoSpaceDE w:val="0"/>
        <w:autoSpaceDN w:val="0"/>
        <w:adjustRightInd w:val="0"/>
      </w:pPr>
      <w:r w:rsidRPr="007A5608">
        <w:rPr>
          <w:b/>
          <w:bCs/>
        </w:rPr>
        <w:t>Dotyczy § 2 ust. 3 umowy</w:t>
      </w:r>
      <w:r w:rsidRPr="007A5608">
        <w:t xml:space="preserve"> </w:t>
      </w:r>
    </w:p>
    <w:p w:rsidR="00A7045F" w:rsidRPr="007A5608" w:rsidRDefault="00A7045F" w:rsidP="00A7045F">
      <w:pPr>
        <w:autoSpaceDE w:val="0"/>
        <w:autoSpaceDN w:val="0"/>
        <w:adjustRightInd w:val="0"/>
      </w:pPr>
      <w:r w:rsidRPr="00F43D03">
        <w:t>P</w:t>
      </w:r>
      <w:r w:rsidRPr="007A5608">
        <w:t xml:space="preserve">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 </w:t>
      </w:r>
    </w:p>
    <w:p w:rsidR="00A7045F" w:rsidRPr="00F43D03" w:rsidRDefault="00A7045F" w:rsidP="00A7045F"/>
    <w:p w:rsidR="00A7045F" w:rsidRPr="00124B0B" w:rsidRDefault="00A7045F" w:rsidP="00A7045F">
      <w:pPr>
        <w:autoSpaceDE w:val="0"/>
        <w:autoSpaceDN w:val="0"/>
        <w:adjustRightInd w:val="0"/>
      </w:pPr>
    </w:p>
    <w:p w:rsidR="00A7045F" w:rsidRPr="00F43D03" w:rsidRDefault="00A7045F" w:rsidP="00A7045F">
      <w:r w:rsidRPr="00F43D03">
        <w:rPr>
          <w:b/>
          <w:bCs/>
        </w:rPr>
        <w:t>Dotyczy § 2 ust. 6 umowy</w:t>
      </w:r>
      <w:r w:rsidRPr="00F43D03">
        <w:t xml:space="preserve"> </w:t>
      </w:r>
    </w:p>
    <w:p w:rsidR="00A7045F" w:rsidRPr="00F43D03" w:rsidRDefault="00A7045F" w:rsidP="00A7045F">
      <w:r w:rsidRPr="00F43D03">
        <w:t>Wnosimy o zmianę zapisu umowy, tak aby ilość przedmiotu umowy była zrealizowana minimum na poziomie 50 %. Zamawiający przed ogłoszeniem postępowania ma obowiązek prawidłowo oszacować wartość oraz ilość przedmiotu zamówienia. Skoro Zamawiający zastrzega sobie</w:t>
      </w:r>
      <w:r w:rsidRPr="00A7045F">
        <w:t xml:space="preserve"> </w:t>
      </w:r>
      <w:r w:rsidRPr="00F43D03">
        <w:t>możliwość wykorzystania przedmiotu umowy na poziomie minimum 10 %, oznacza to że nie dochowano należytej staranności podczas przygotowywania postępowania, a wymagane ilości poszczególnych produktów leczniczych/wyrobów medycznych są mocno zawyżone.</w:t>
      </w:r>
    </w:p>
    <w:p w:rsidR="00A7045F" w:rsidRPr="00F43D03" w:rsidRDefault="00A7045F" w:rsidP="00A7045F"/>
    <w:p w:rsidR="00A7045F" w:rsidRPr="006A63B1" w:rsidRDefault="00A7045F" w:rsidP="00A7045F">
      <w:pPr>
        <w:autoSpaceDE w:val="0"/>
        <w:autoSpaceDN w:val="0"/>
        <w:adjustRightInd w:val="0"/>
      </w:pPr>
    </w:p>
    <w:p w:rsidR="00A7045F" w:rsidRPr="00F43D03" w:rsidRDefault="00A7045F" w:rsidP="00A7045F">
      <w:pPr>
        <w:rPr>
          <w:b/>
          <w:bCs/>
        </w:rPr>
      </w:pPr>
      <w:r w:rsidRPr="00F43D03">
        <w:rPr>
          <w:b/>
          <w:bCs/>
        </w:rPr>
        <w:t xml:space="preserve">Dotyczy § 2 ust. 7 umowy </w:t>
      </w:r>
    </w:p>
    <w:p w:rsidR="00A7045F" w:rsidRPr="00F43D03" w:rsidRDefault="00A7045F" w:rsidP="00A7045F">
      <w:r w:rsidRPr="00F43D03">
        <w:t>Prosimy o potwierdzenie, że z uprawnienia o którym mowa w § 2 ust. 7 umowy Zamawiający może skorzystać tylko raz ?</w:t>
      </w:r>
    </w:p>
    <w:p w:rsidR="00A7045F" w:rsidRPr="004E1E61" w:rsidRDefault="00A7045F" w:rsidP="00A7045F">
      <w:pPr>
        <w:autoSpaceDE w:val="0"/>
        <w:autoSpaceDN w:val="0"/>
        <w:adjustRightInd w:val="0"/>
      </w:pPr>
    </w:p>
    <w:p w:rsidR="00A7045F" w:rsidRPr="00F43D03" w:rsidRDefault="00A7045F" w:rsidP="00A7045F">
      <w:pPr>
        <w:rPr>
          <w:b/>
          <w:bCs/>
        </w:rPr>
      </w:pPr>
      <w:r w:rsidRPr="00F43D03">
        <w:rPr>
          <w:b/>
          <w:bCs/>
        </w:rPr>
        <w:t xml:space="preserve">Dotyczy § 2 ust. 10 </w:t>
      </w:r>
      <w:proofErr w:type="spellStart"/>
      <w:r w:rsidRPr="00F43D03">
        <w:rPr>
          <w:b/>
          <w:bCs/>
        </w:rPr>
        <w:t>pkt</w:t>
      </w:r>
      <w:proofErr w:type="spellEnd"/>
      <w:r w:rsidRPr="00F43D03">
        <w:rPr>
          <w:b/>
          <w:bCs/>
        </w:rPr>
        <w:t xml:space="preserve"> 1,2 umowy </w:t>
      </w:r>
    </w:p>
    <w:p w:rsidR="00A7045F" w:rsidRPr="003D4B56" w:rsidRDefault="00A7045F" w:rsidP="00F570AC">
      <w:r w:rsidRPr="00F43D03">
        <w:t>Czy Zamawiający wydłuży termin do rozpatrzenia reklamacji jakościowej przez Wykonawcę do 10 dni roboczych, natomiast ilościowej – do 3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A7045F" w:rsidRPr="00F43D03" w:rsidRDefault="00A7045F" w:rsidP="00A7045F">
      <w:pPr>
        <w:rPr>
          <w:b/>
          <w:bCs/>
        </w:rPr>
      </w:pPr>
      <w:r w:rsidRPr="00F43D03">
        <w:rPr>
          <w:b/>
          <w:bCs/>
        </w:rPr>
        <w:t xml:space="preserve">Dotyczy § 4 ust. 5 </w:t>
      </w:r>
      <w:proofErr w:type="spellStart"/>
      <w:r w:rsidRPr="00F43D03">
        <w:rPr>
          <w:b/>
          <w:bCs/>
        </w:rPr>
        <w:t>pkt</w:t>
      </w:r>
      <w:proofErr w:type="spellEnd"/>
      <w:r w:rsidRPr="00F43D03">
        <w:rPr>
          <w:b/>
          <w:bCs/>
        </w:rPr>
        <w:t xml:space="preserve"> 1 umowy </w:t>
      </w:r>
    </w:p>
    <w:p w:rsidR="00A7045F" w:rsidRPr="00F43D03" w:rsidRDefault="00A7045F" w:rsidP="00A7045F">
      <w:r w:rsidRPr="00F43D03">
        <w:t xml:space="preserve">Prosimy o usunięcie zapisu dotyczącego rozwiązania umowy ze względu na zwłokę w dostawie większą niż 72 godziny. W przypadku zwłoki w dostawie Zamawiający ma możliwość zakupu towaru u innego dostawcy, a różnicą w </w:t>
      </w:r>
      <w:r w:rsidRPr="00F43D03">
        <w:lastRenderedPageBreak/>
        <w:t>zakupie obciąża Wykonawcę. Rozwiązanie umowy z powodu zwłoki w dostawie, jeżeli nie jest to nagminne, jest nieproporcjonalnie wysoką karą dla Wykonawcy.</w:t>
      </w:r>
    </w:p>
    <w:p w:rsidR="0056081C" w:rsidRDefault="0056081C" w:rsidP="00A7045F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66C2" w:rsidRDefault="00A666C2" w:rsidP="00A666C2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Odpowiedzi do pytań z zestawu nr II</w:t>
      </w:r>
      <w:r w:rsidRPr="005B3AF4">
        <w:rPr>
          <w:rFonts w:asciiTheme="minorHAnsi" w:hAnsiTheme="minorHAnsi" w:cstheme="minorHAnsi"/>
          <w:b/>
          <w:sz w:val="20"/>
          <w:szCs w:val="20"/>
        </w:rPr>
        <w:t>: Zamawiający pozostawia zapisy SWZ i projektowanych postanowień umowy bez zmian.</w:t>
      </w:r>
    </w:p>
    <w:p w:rsidR="0056081C" w:rsidRDefault="0056081C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081C" w:rsidRDefault="0056081C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081C" w:rsidRDefault="0056081C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35022" w:rsidRPr="00435022" w:rsidRDefault="00435022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zgodnie z art. 284 ust. 3 ustawy Prawo Zamówień Publicznych z dnia 11 września 2019 r. (Dz. U. z 2023 r. poz. 1605 ze zm.) przedłuża termin </w:t>
      </w:r>
      <w:r w:rsidR="00A666C2">
        <w:rPr>
          <w:rFonts w:asciiTheme="minorHAnsi" w:hAnsiTheme="minorHAnsi" w:cstheme="minorHAnsi"/>
          <w:sz w:val="20"/>
          <w:szCs w:val="20"/>
        </w:rPr>
        <w:t>składania i otwarcia ofert do 10</w:t>
      </w:r>
      <w:r>
        <w:rPr>
          <w:rFonts w:asciiTheme="minorHAnsi" w:hAnsiTheme="minorHAnsi" w:cstheme="minorHAnsi"/>
          <w:sz w:val="20"/>
          <w:szCs w:val="20"/>
        </w:rPr>
        <w:t>.04.2024 r. Godziny składania i otwarcia pozostają bez zmian. Zamawiający przedłu</w:t>
      </w:r>
      <w:r w:rsidR="0043549C">
        <w:rPr>
          <w:rFonts w:asciiTheme="minorHAnsi" w:hAnsiTheme="minorHAnsi" w:cstheme="minorHAnsi"/>
          <w:sz w:val="20"/>
          <w:szCs w:val="20"/>
        </w:rPr>
        <w:t>ża termin związania ofertą do 09</w:t>
      </w:r>
      <w:r>
        <w:rPr>
          <w:rFonts w:asciiTheme="minorHAnsi" w:hAnsiTheme="minorHAnsi" w:cstheme="minorHAnsi"/>
          <w:sz w:val="20"/>
          <w:szCs w:val="20"/>
        </w:rPr>
        <w:t>.05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.2024 r.</w:t>
      </w:r>
    </w:p>
    <w:p w:rsidR="00526A2D" w:rsidRPr="005B3AF4" w:rsidRDefault="00526A2D" w:rsidP="00556DBA">
      <w:pPr>
        <w:spacing w:after="0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526A2D" w:rsidRPr="005B3AF4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25" w:rsidRDefault="00984D25" w:rsidP="00C97BF3">
      <w:pPr>
        <w:spacing w:after="0" w:line="240" w:lineRule="auto"/>
      </w:pPr>
      <w:r>
        <w:separator/>
      </w:r>
    </w:p>
  </w:endnote>
  <w:endnote w:type="continuationSeparator" w:id="0">
    <w:p w:rsidR="00984D25" w:rsidRDefault="00984D25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0A22B6" w:rsidP="005A438D">
    <w:pPr>
      <w:pStyle w:val="Stopka"/>
      <w:jc w:val="both"/>
    </w:pPr>
    <w:r>
      <w:fldChar w:fldCharType="begin"/>
    </w:r>
    <w:r w:rsidR="00711306">
      <w:instrText xml:space="preserve"> PAGE   \* MERGEFORMAT </w:instrText>
    </w:r>
    <w:r>
      <w:fldChar w:fldCharType="separate"/>
    </w:r>
    <w:r w:rsidR="0043549C">
      <w:rPr>
        <w:noProof/>
      </w:rPr>
      <w:t>4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25" w:rsidRDefault="00984D25" w:rsidP="00C97BF3">
      <w:pPr>
        <w:spacing w:after="0" w:line="240" w:lineRule="auto"/>
      </w:pPr>
      <w:r>
        <w:separator/>
      </w:r>
    </w:p>
  </w:footnote>
  <w:footnote w:type="continuationSeparator" w:id="0">
    <w:p w:rsidR="00984D25" w:rsidRDefault="00984D25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851C1B7E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02B62"/>
    <w:rsid w:val="000508F3"/>
    <w:rsid w:val="00053E30"/>
    <w:rsid w:val="0006004D"/>
    <w:rsid w:val="00076E89"/>
    <w:rsid w:val="000A22B6"/>
    <w:rsid w:val="000B09DA"/>
    <w:rsid w:val="000C0553"/>
    <w:rsid w:val="000C5A03"/>
    <w:rsid w:val="000F0BB2"/>
    <w:rsid w:val="00133801"/>
    <w:rsid w:val="001366B8"/>
    <w:rsid w:val="001375CB"/>
    <w:rsid w:val="00152C15"/>
    <w:rsid w:val="00183F53"/>
    <w:rsid w:val="001A37CF"/>
    <w:rsid w:val="001B601B"/>
    <w:rsid w:val="001C2AFB"/>
    <w:rsid w:val="00271AD8"/>
    <w:rsid w:val="002855CF"/>
    <w:rsid w:val="002C15CC"/>
    <w:rsid w:val="002C24BC"/>
    <w:rsid w:val="00305807"/>
    <w:rsid w:val="00315901"/>
    <w:rsid w:val="0032681B"/>
    <w:rsid w:val="003444E4"/>
    <w:rsid w:val="00395839"/>
    <w:rsid w:val="00397FFD"/>
    <w:rsid w:val="003B016A"/>
    <w:rsid w:val="003D10E6"/>
    <w:rsid w:val="003E1049"/>
    <w:rsid w:val="0041720C"/>
    <w:rsid w:val="00424D3B"/>
    <w:rsid w:val="00424EBD"/>
    <w:rsid w:val="00435022"/>
    <w:rsid w:val="0043549C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081C"/>
    <w:rsid w:val="00563BA1"/>
    <w:rsid w:val="0057079A"/>
    <w:rsid w:val="00572826"/>
    <w:rsid w:val="00582D94"/>
    <w:rsid w:val="005A438D"/>
    <w:rsid w:val="005A5062"/>
    <w:rsid w:val="005B3AF4"/>
    <w:rsid w:val="006249FB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620D4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84D25"/>
    <w:rsid w:val="009A2250"/>
    <w:rsid w:val="009A7F6A"/>
    <w:rsid w:val="009C0D8C"/>
    <w:rsid w:val="009D3510"/>
    <w:rsid w:val="00A16FF8"/>
    <w:rsid w:val="00A35EAB"/>
    <w:rsid w:val="00A3733D"/>
    <w:rsid w:val="00A53F0B"/>
    <w:rsid w:val="00A666C2"/>
    <w:rsid w:val="00A7045F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54F"/>
    <w:rsid w:val="00C80CF7"/>
    <w:rsid w:val="00C9021D"/>
    <w:rsid w:val="00C92108"/>
    <w:rsid w:val="00C94DBE"/>
    <w:rsid w:val="00C97BF3"/>
    <w:rsid w:val="00CD06CF"/>
    <w:rsid w:val="00CD7E20"/>
    <w:rsid w:val="00CE0D73"/>
    <w:rsid w:val="00CE5F95"/>
    <w:rsid w:val="00CE7C32"/>
    <w:rsid w:val="00D06F33"/>
    <w:rsid w:val="00D35B9E"/>
    <w:rsid w:val="00D44B29"/>
    <w:rsid w:val="00D506E0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3C75"/>
    <w:rsid w:val="00F06279"/>
    <w:rsid w:val="00F27668"/>
    <w:rsid w:val="00F32380"/>
    <w:rsid w:val="00F40A84"/>
    <w:rsid w:val="00F570AC"/>
    <w:rsid w:val="00F61B49"/>
    <w:rsid w:val="00F74902"/>
    <w:rsid w:val="00F8386C"/>
    <w:rsid w:val="00FD48DF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736E-547A-4AE3-A705-B8AD24E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18</cp:revision>
  <cp:lastPrinted>2024-03-25T11:22:00Z</cp:lastPrinted>
  <dcterms:created xsi:type="dcterms:W3CDTF">2024-03-27T10:37:00Z</dcterms:created>
  <dcterms:modified xsi:type="dcterms:W3CDTF">2024-04-04T12:03:00Z</dcterms:modified>
</cp:coreProperties>
</file>