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CA" w:rsidRPr="003D0C50" w:rsidRDefault="00A350CA" w:rsidP="00A350CA">
      <w:pPr>
        <w:pStyle w:val="Nagwek"/>
        <w:jc w:val="both"/>
        <w:rPr>
          <w:rFonts w:ascii="Verdana" w:hAnsi="Verdana"/>
          <w:sz w:val="20"/>
          <w:szCs w:val="20"/>
        </w:rPr>
      </w:pPr>
      <w:r w:rsidRPr="003D0C50">
        <w:rPr>
          <w:rFonts w:ascii="Verdana" w:hAnsi="Verdana"/>
          <w:sz w:val="20"/>
          <w:szCs w:val="20"/>
        </w:rPr>
        <w:t>WCPIT/EA/381-13/18</w:t>
      </w:r>
      <w:r w:rsidRPr="003D0C50">
        <w:rPr>
          <w:rFonts w:ascii="Verdana" w:hAnsi="Verdana"/>
          <w:sz w:val="20"/>
          <w:szCs w:val="20"/>
        </w:rPr>
        <w:tab/>
      </w:r>
      <w:r w:rsidRPr="003D0C50">
        <w:rPr>
          <w:rFonts w:ascii="Verdana" w:hAnsi="Verdana"/>
          <w:sz w:val="20"/>
          <w:szCs w:val="20"/>
        </w:rPr>
        <w:tab/>
        <w:t xml:space="preserve">Poznań, 2018-06-05 </w:t>
      </w:r>
    </w:p>
    <w:p w:rsidR="00A350CA" w:rsidRPr="003D0C50" w:rsidRDefault="00A350CA" w:rsidP="00A350CA">
      <w:pPr>
        <w:pStyle w:val="Nagwek"/>
        <w:jc w:val="both"/>
        <w:rPr>
          <w:rFonts w:ascii="Verdana" w:hAnsi="Verdana"/>
          <w:sz w:val="20"/>
          <w:szCs w:val="20"/>
        </w:rPr>
      </w:pPr>
      <w:r w:rsidRPr="003D0C50">
        <w:rPr>
          <w:rFonts w:ascii="Verdana" w:hAnsi="Verdana"/>
          <w:sz w:val="20"/>
          <w:szCs w:val="20"/>
        </w:rPr>
        <w:tab/>
      </w:r>
      <w:r w:rsidRPr="003D0C50">
        <w:rPr>
          <w:rFonts w:ascii="Verdana" w:hAnsi="Verdana"/>
          <w:sz w:val="20"/>
          <w:szCs w:val="20"/>
        </w:rPr>
        <w:tab/>
      </w:r>
    </w:p>
    <w:p w:rsidR="00A350CA" w:rsidRPr="003D0C50" w:rsidRDefault="00A350CA" w:rsidP="00A350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350CA" w:rsidRPr="003D0C50" w:rsidRDefault="00A350CA" w:rsidP="00A350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D0C50">
        <w:rPr>
          <w:rFonts w:ascii="Verdana" w:hAnsi="Verdana"/>
          <w:sz w:val="20"/>
          <w:szCs w:val="20"/>
        </w:rPr>
        <w:t>Uczestnicy postępowania</w:t>
      </w:r>
    </w:p>
    <w:p w:rsidR="00A350CA" w:rsidRPr="003D0C50" w:rsidRDefault="00A350CA" w:rsidP="00A350C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350CA" w:rsidRPr="003D0C50" w:rsidRDefault="00A350CA" w:rsidP="00A350CA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3D0C50">
        <w:rPr>
          <w:rFonts w:ascii="Verdana" w:hAnsi="Verdana"/>
          <w:b/>
          <w:sz w:val="20"/>
          <w:szCs w:val="20"/>
        </w:rPr>
        <w:t xml:space="preserve">Dotyczy: przetargu nieograniczonego na </w:t>
      </w:r>
      <w:r w:rsidRPr="003D0C50">
        <w:rPr>
          <w:rFonts w:ascii="Verdana" w:hAnsi="Verdana" w:cs="Arial"/>
          <w:b/>
          <w:sz w:val="20"/>
          <w:szCs w:val="20"/>
        </w:rPr>
        <w:t xml:space="preserve">opiekę autorską nad Systemem </w:t>
      </w:r>
      <w:r w:rsidRPr="003D0C50">
        <w:rPr>
          <w:rFonts w:ascii="Verdana" w:hAnsi="Verdana" w:cs="Arial"/>
          <w:b/>
          <w:snapToGrid w:val="0"/>
          <w:sz w:val="20"/>
          <w:szCs w:val="20"/>
        </w:rPr>
        <w:t>„Eskulap System Informatyczny Szpitala”</w:t>
      </w:r>
      <w:r w:rsidRPr="003D0C50">
        <w:rPr>
          <w:rFonts w:ascii="Verdana" w:hAnsi="Verdana" w:cs="Arial"/>
          <w:sz w:val="20"/>
          <w:szCs w:val="20"/>
        </w:rPr>
        <w:t xml:space="preserve"> </w:t>
      </w:r>
      <w:r w:rsidRPr="003D0C50">
        <w:rPr>
          <w:rFonts w:ascii="Verdana" w:hAnsi="Verdana" w:cs="Arial"/>
          <w:b/>
          <w:sz w:val="20"/>
          <w:szCs w:val="20"/>
        </w:rPr>
        <w:t>użytkowanym w Wielkopolskim Centrum Pulmonologii i Torakochirurgii</w:t>
      </w:r>
    </w:p>
    <w:p w:rsidR="00A350CA" w:rsidRPr="003D0C50" w:rsidRDefault="00A350CA" w:rsidP="00A350C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A350CA" w:rsidRPr="003D0C50" w:rsidRDefault="00A350CA" w:rsidP="00A350C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3D0C50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proofErr w:type="spellStart"/>
      <w:r w:rsidRPr="003D0C50">
        <w:rPr>
          <w:rFonts w:ascii="Verdana" w:hAnsi="Verdana"/>
          <w:sz w:val="20"/>
          <w:szCs w:val="20"/>
        </w:rPr>
        <w:t>t.j</w:t>
      </w:r>
      <w:proofErr w:type="spellEnd"/>
      <w:r w:rsidRPr="003D0C50">
        <w:rPr>
          <w:rFonts w:ascii="Verdana" w:hAnsi="Verdana"/>
          <w:sz w:val="20"/>
          <w:szCs w:val="20"/>
        </w:rPr>
        <w:t xml:space="preserve">. </w:t>
      </w:r>
      <w:proofErr w:type="spellStart"/>
      <w:r w:rsidRPr="003D0C50">
        <w:rPr>
          <w:rFonts w:ascii="Verdana" w:hAnsi="Verdana"/>
          <w:sz w:val="20"/>
          <w:szCs w:val="20"/>
        </w:rPr>
        <w:t>Dz.U</w:t>
      </w:r>
      <w:proofErr w:type="spellEnd"/>
      <w:r w:rsidRPr="003D0C50">
        <w:rPr>
          <w:rFonts w:ascii="Verdana" w:hAnsi="Verdana"/>
          <w:sz w:val="20"/>
          <w:szCs w:val="20"/>
        </w:rPr>
        <w:t xml:space="preserve">. z 2017 r. poz. </w:t>
      </w:r>
      <w:r w:rsidRPr="003D0C50">
        <w:rPr>
          <w:rFonts w:ascii="Verdana" w:hAnsi="Verdana" w:cs="Arial"/>
          <w:sz w:val="20"/>
          <w:szCs w:val="20"/>
        </w:rPr>
        <w:t>1579</w:t>
      </w:r>
      <w:r w:rsidRPr="003D0C50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A350CA" w:rsidRPr="000E2620" w:rsidRDefault="00A350CA" w:rsidP="00A350CA">
      <w:pPr>
        <w:jc w:val="both"/>
        <w:rPr>
          <w:b/>
        </w:rPr>
      </w:pPr>
    </w:p>
    <w:p w:rsidR="00A350CA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>
        <w:t>Dot. SIWZ, Kryteria oceny ofert oraz formularz oferty, pkt. 2. Ponieważ zapisy, w tych dokumentach różnią się miedzy sobą – w SIWZ jest czas usunięcia awarii, a w formularzu jest czas reakcji serwisu prosimy o ich ujednolicenie.</w:t>
      </w:r>
    </w:p>
    <w:p w:rsidR="00A350CA" w:rsidRPr="006D308F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ODPOWIEDŹ: Zamawiający modyfikuje Formularz ofertowy w następujący sposób:</w:t>
      </w:r>
    </w:p>
    <w:p w:rsidR="00A350CA" w:rsidRPr="006D308F" w:rsidRDefault="00A350CA" w:rsidP="00A350CA">
      <w:pPr>
        <w:jc w:val="both"/>
        <w:rPr>
          <w:rFonts w:ascii="Verdana" w:hAnsi="Verdana"/>
          <w:b/>
          <w:bCs/>
          <w:sz w:val="20"/>
          <w:szCs w:val="20"/>
        </w:rPr>
      </w:pPr>
      <w:r w:rsidRPr="006D308F">
        <w:rPr>
          <w:rFonts w:ascii="Verdana" w:hAnsi="Verdana"/>
          <w:b/>
          <w:bCs/>
          <w:sz w:val="20"/>
          <w:szCs w:val="20"/>
        </w:rPr>
        <w:t xml:space="preserve">2.  Czas </w:t>
      </w:r>
      <w:r w:rsidRPr="006D308F">
        <w:rPr>
          <w:rFonts w:ascii="Verdana" w:hAnsi="Verdana"/>
          <w:b/>
          <w:sz w:val="20"/>
          <w:szCs w:val="20"/>
        </w:rPr>
        <w:t>usunięcia powstałych w wyniku błędu krytycznego nieprawidłowości (czas usunięcia awarii) od chwili zgłoszenia</w:t>
      </w:r>
      <w:r w:rsidRPr="006D308F">
        <w:rPr>
          <w:rFonts w:ascii="Verdana" w:hAnsi="Verdana" w:cs="Arial"/>
          <w:b/>
          <w:bCs/>
          <w:sz w:val="20"/>
          <w:szCs w:val="20"/>
        </w:rPr>
        <w:t xml:space="preserve">:  </w:t>
      </w:r>
      <w:r w:rsidRPr="006D308F">
        <w:rPr>
          <w:rFonts w:ascii="Verdana" w:hAnsi="Verdana"/>
          <w:b/>
          <w:bCs/>
          <w:sz w:val="20"/>
          <w:szCs w:val="20"/>
        </w:rPr>
        <w:t>……………..godzin.</w:t>
      </w:r>
    </w:p>
    <w:p w:rsidR="00A350CA" w:rsidRPr="006D308F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bCs/>
          <w:sz w:val="20"/>
          <w:szCs w:val="20"/>
        </w:rPr>
        <w:t>Zamawiający publikuje zmodyfikowany Załącznik nr 2 – FORMULARZ OFERTOWY PO ZMIANACH</w:t>
      </w:r>
    </w:p>
    <w:p w:rsidR="00A350CA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>
        <w:t>Dot. SIWZ, Kryteria oceny ofert – czas usunięcie awarii. Czy Zamawiający wyrazi zgodę na wydłużenie max czasu usunięcia awarii do 24h od upłynięcia czasu reakcji oraz zmianę zapisów SIWZ z tym zakresie, jak niżej:</w:t>
      </w:r>
    </w:p>
    <w:p w:rsidR="00A350CA" w:rsidRPr="00A51F86" w:rsidRDefault="00A350CA" w:rsidP="00A350CA">
      <w:pPr>
        <w:jc w:val="both"/>
      </w:pPr>
      <w:r w:rsidRPr="00A51F86">
        <w:t xml:space="preserve">Do </w:t>
      </w:r>
      <w:r>
        <w:t>12</w:t>
      </w:r>
      <w:r w:rsidRPr="00A51F86">
        <w:t xml:space="preserve"> godzin</w:t>
      </w:r>
      <w:r>
        <w:t xml:space="preserve"> </w:t>
      </w:r>
      <w:r w:rsidRPr="00A51F86">
        <w:t>– 40 punków</w:t>
      </w:r>
    </w:p>
    <w:p w:rsidR="00A350CA" w:rsidRPr="00A51F86" w:rsidRDefault="00A350CA" w:rsidP="00A350CA">
      <w:pPr>
        <w:jc w:val="both"/>
      </w:pPr>
      <w:r>
        <w:t>Do 18</w:t>
      </w:r>
      <w:r w:rsidRPr="00A51F86">
        <w:t xml:space="preserve"> godzin – </w:t>
      </w:r>
      <w:r>
        <w:t>20</w:t>
      </w:r>
      <w:r w:rsidRPr="00A51F86">
        <w:t xml:space="preserve"> punktów</w:t>
      </w:r>
    </w:p>
    <w:p w:rsidR="00A350CA" w:rsidRDefault="00A350CA" w:rsidP="00A350CA">
      <w:pPr>
        <w:jc w:val="both"/>
      </w:pPr>
      <w:r>
        <w:t>Do 24</w:t>
      </w:r>
      <w:r w:rsidRPr="00A51F86">
        <w:t xml:space="preserve"> godzin – </w:t>
      </w:r>
      <w:r>
        <w:t>0</w:t>
      </w:r>
      <w:r w:rsidRPr="00A51F86">
        <w:t xml:space="preserve"> punktów</w:t>
      </w:r>
      <w:r>
        <w:t>?</w:t>
      </w:r>
    </w:p>
    <w:p w:rsidR="00A350CA" w:rsidRDefault="00A350CA" w:rsidP="00A350CA">
      <w:pPr>
        <w:jc w:val="both"/>
      </w:pPr>
      <w:r>
        <w:t xml:space="preserve">Pozostawienie SIWZ w niezmienionym brzmieniu naraża Zamawiającego na znaczny wzrost kosztów wykonania usługi ze względu na zbyt duże ryzyko biznesowe związane z tak krótkim czasem, które wykonawca będzie musiał uwzględnić przy składaniu oferty. Poza tym standardem branżowym przy </w:t>
      </w:r>
      <w:r>
        <w:lastRenderedPageBreak/>
        <w:t>tego typu usługach jest czas usunięcie awarii w ciągu 24h, co deklaruje większość podmiotów działających na rynku IT w ochronie zdrowia.</w:t>
      </w:r>
    </w:p>
    <w:p w:rsidR="00A350CA" w:rsidRPr="006D308F" w:rsidRDefault="00A350CA" w:rsidP="006D30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ODPOWIEDŹ: Zamawiający wyraża zgodę i modyfikuje zapisy SIWZ w zakresie Kryterium oceny ofert – czas usunięcia awarii:</w:t>
      </w:r>
    </w:p>
    <w:p w:rsidR="00A350CA" w:rsidRPr="006D308F" w:rsidRDefault="00A350CA" w:rsidP="006D30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Do 12 godzin – 40 punków</w:t>
      </w:r>
    </w:p>
    <w:p w:rsidR="00A350CA" w:rsidRPr="006D308F" w:rsidRDefault="00A350CA" w:rsidP="006D30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Do 18 godzin – 20 punktów</w:t>
      </w:r>
    </w:p>
    <w:p w:rsidR="00A350CA" w:rsidRPr="006D308F" w:rsidRDefault="00A350CA" w:rsidP="006D30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Do 24 godzin – 0 punktów</w:t>
      </w:r>
    </w:p>
    <w:p w:rsidR="00A350CA" w:rsidRPr="006D308F" w:rsidRDefault="00A350CA" w:rsidP="006D308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bCs/>
          <w:sz w:val="20"/>
          <w:szCs w:val="20"/>
        </w:rPr>
        <w:t>Zamawiający publikuje zmodyfikowany SIWZ PO ZMIANACH</w:t>
      </w:r>
    </w:p>
    <w:p w:rsidR="00A350CA" w:rsidRPr="00196EDB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196EDB">
        <w:t>Prosimy o potwierdzenie, że zgodnie z opinią UZP dostępną na stronach urzędu, w przypadku wpłynięcia tylko 1 oferty, Zamawiający nie będzie wymagał złożenia od wykonawcy oświadczenia o przynależności do grupy kapitałowej.</w:t>
      </w:r>
    </w:p>
    <w:p w:rsidR="00A350CA" w:rsidRPr="00555B48" w:rsidRDefault="00A60A62" w:rsidP="00A350CA">
      <w:pPr>
        <w:jc w:val="both"/>
      </w:pPr>
      <w:hyperlink r:id="rId7" w:history="1">
        <w:r w:rsidR="00A350CA" w:rsidRPr="00555B48">
          <w:rPr>
            <w:rStyle w:val="Hipercze"/>
            <w:color w:val="auto"/>
          </w:rPr>
          <w:t>https://www.uzp.gov.pl/baza-wiedzy/interpretacja-przepisow/pytania-i-odpowiedzi-dotyczace-nowelizacji-ustawy-prawo-zamowien-publicznych/kwalifikacja-podmiotowa-wykonawcow</w:t>
        </w:r>
      </w:hyperlink>
    </w:p>
    <w:p w:rsidR="00A350CA" w:rsidRPr="006D308F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ODPOWIEDŹ: TAK</w:t>
      </w:r>
    </w:p>
    <w:p w:rsidR="00A350CA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196EDB">
        <w:t>Załącznik nr 4 Wzór umowy – Ponieważ Zamawiający nie określa Zasad realizacji usług serwisowych, prosimy o potwierdzenie, że Wykonawca winien takie zasady dołączyć do oferty.</w:t>
      </w:r>
      <w:r>
        <w:t xml:space="preserve"> Proponowaną treść zasad realizacji usług zawiera załącznik do pytania nr 4, który jednocześnie stanowić będzie załącznik do Umowy.</w:t>
      </w:r>
    </w:p>
    <w:p w:rsidR="00A350CA" w:rsidRPr="006D308F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6D308F">
        <w:rPr>
          <w:rFonts w:ascii="Verdana" w:hAnsi="Verdana"/>
          <w:b/>
          <w:sz w:val="20"/>
          <w:szCs w:val="20"/>
        </w:rPr>
        <w:t>Odpowiedź: Nie</w:t>
      </w:r>
      <w:r w:rsidR="006D308F">
        <w:rPr>
          <w:rFonts w:ascii="Verdana" w:hAnsi="Verdana"/>
          <w:b/>
          <w:sz w:val="20"/>
          <w:szCs w:val="20"/>
        </w:rPr>
        <w:t>,</w:t>
      </w:r>
      <w:r w:rsidR="001E477D">
        <w:rPr>
          <w:rFonts w:ascii="Verdana" w:hAnsi="Verdana"/>
          <w:b/>
          <w:sz w:val="20"/>
          <w:szCs w:val="20"/>
        </w:rPr>
        <w:t xml:space="preserve"> </w:t>
      </w:r>
      <w:r w:rsidRPr="006D308F">
        <w:rPr>
          <w:rFonts w:ascii="Verdana" w:hAnsi="Verdana"/>
          <w:b/>
          <w:sz w:val="20"/>
          <w:szCs w:val="20"/>
        </w:rPr>
        <w:t>pozostawiamy SIWZ bez zmian</w:t>
      </w:r>
      <w:r w:rsidR="006D308F">
        <w:rPr>
          <w:rFonts w:ascii="Verdana" w:hAnsi="Verdana"/>
          <w:b/>
          <w:sz w:val="20"/>
          <w:szCs w:val="20"/>
        </w:rPr>
        <w:t>.</w:t>
      </w:r>
    </w:p>
    <w:p w:rsidR="00A350CA" w:rsidRPr="008739C8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8739C8">
        <w:t>Załącznik nr 4 Wzór umowy, par. 11 kary umowne. Ponieważ przyczyny opóźnienia mogą być różne, w tym nie zależeć od stron lub leżeć po stronie Zamawiającego,  prosimy o zamianę „opóźnienia” na „zwłokę” lub „opóźnienie z winy Wykonawcy”.</w:t>
      </w:r>
    </w:p>
    <w:p w:rsidR="00A350CA" w:rsidRPr="001E477D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Tak, wyrażamy zgodę. </w:t>
      </w:r>
      <w:r w:rsidRPr="001E477D">
        <w:rPr>
          <w:rFonts w:ascii="Verdana" w:hAnsi="Verdana"/>
          <w:b/>
          <w:bCs/>
          <w:sz w:val="20"/>
          <w:szCs w:val="20"/>
        </w:rPr>
        <w:t>Zamawiający publikuje zmodyfikowany Załącznik nr 4 – UMOWA PO ZMIANACH</w:t>
      </w:r>
    </w:p>
    <w:p w:rsidR="00A350CA" w:rsidRPr="008739C8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8739C8">
        <w:t xml:space="preserve">Załącznik nr 4 Wzór umowy, par. 11 kary umowne, </w:t>
      </w:r>
      <w:proofErr w:type="spellStart"/>
      <w:r w:rsidRPr="008739C8">
        <w:t>pkt</w:t>
      </w:r>
      <w:proofErr w:type="spellEnd"/>
      <w:r w:rsidRPr="008739C8">
        <w:t xml:space="preserve"> 1 </w:t>
      </w:r>
      <w:proofErr w:type="spellStart"/>
      <w:r w:rsidRPr="008739C8">
        <w:t>ppkt</w:t>
      </w:r>
      <w:proofErr w:type="spellEnd"/>
      <w:r w:rsidRPr="008739C8">
        <w:t xml:space="preserve"> a). Prosimy o zmianę wysokości kary z 0,5% na w wysokości 0,05% miesięcznego wynagrodzenia netto Umowy za każdą godzinę zwłoki w odniesieniu do terminów wyrażonych w godzinach ponieważ zaproponowana wartość jest nie współmierna i bardzo wysoka, co zasadniczo będzie miała wpływ na koszty jakie Wykonawca będzie musiał wziąć pod uwagę przy składaniu oferty. Pozostawienie treści SIWZ w takim brzmieniu </w:t>
      </w:r>
      <w:r w:rsidRPr="008739C8">
        <w:lastRenderedPageBreak/>
        <w:t xml:space="preserve">narusza art. 5 </w:t>
      </w:r>
      <w:proofErr w:type="spellStart"/>
      <w:r w:rsidRPr="008739C8">
        <w:t>kc</w:t>
      </w:r>
      <w:proofErr w:type="spellEnd"/>
      <w:r w:rsidRPr="008739C8">
        <w:t xml:space="preserve">, art. 58 § 1 i 2 </w:t>
      </w:r>
      <w:proofErr w:type="spellStart"/>
      <w:r w:rsidRPr="008739C8">
        <w:t>kc</w:t>
      </w:r>
      <w:proofErr w:type="spellEnd"/>
      <w:r w:rsidRPr="008739C8">
        <w:t xml:space="preserve">. w zw. z art. 14 i 139 ustawy </w:t>
      </w:r>
      <w:proofErr w:type="spellStart"/>
      <w:r w:rsidRPr="008739C8">
        <w:t>Pzp</w:t>
      </w:r>
      <w:proofErr w:type="spellEnd"/>
      <w:r w:rsidRPr="008739C8">
        <w:t xml:space="preserve"> poprzez wprowadzenie zapisów godzących w elementarne zasady współżycia społecznego, mogących stanowić naruszenie dobrych obyczajów oraz zasad uczciwej konkurencji.</w:t>
      </w:r>
    </w:p>
    <w:p w:rsidR="00A350CA" w:rsidRPr="001E477D" w:rsidRDefault="00A350CA" w:rsidP="00A350CA">
      <w:pPr>
        <w:jc w:val="both"/>
        <w:rPr>
          <w:rFonts w:ascii="Verdana" w:eastAsia="Arial Unicode MS" w:hAnsi="Verdana" w:cs="Arial Unicode MS"/>
          <w:b/>
          <w:sz w:val="20"/>
          <w:szCs w:val="20"/>
        </w:rPr>
      </w:pPr>
      <w:r w:rsidRPr="001E477D">
        <w:rPr>
          <w:rFonts w:ascii="Verdana" w:eastAsia="Arial Unicode MS" w:hAnsi="Verdana" w:cs="Arial Unicode MS"/>
          <w:b/>
          <w:sz w:val="20"/>
          <w:szCs w:val="20"/>
        </w:rPr>
        <w:t xml:space="preserve">ODPOWIEDŹ: Tak, ale zgoda na zmianę do wysokości 0,1%  </w:t>
      </w:r>
      <w:r w:rsidRPr="001E477D">
        <w:rPr>
          <w:rFonts w:ascii="Verdana" w:eastAsia="Arial Unicode MS" w:hAnsi="Verdana" w:cs="Arial Unicode MS"/>
          <w:b/>
          <w:bCs/>
          <w:sz w:val="20"/>
          <w:szCs w:val="20"/>
        </w:rPr>
        <w:t>Zamawiający publikuje zmodyfikowany Załącznik nr 4 – UMOWA PO ZMIANACH</w:t>
      </w:r>
    </w:p>
    <w:p w:rsidR="00A350CA" w:rsidRPr="008739C8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8739C8">
        <w:t xml:space="preserve">Załącznik nr 4 Wzór umowy, par. 11 kary umowne, </w:t>
      </w:r>
      <w:proofErr w:type="spellStart"/>
      <w:r w:rsidRPr="008739C8">
        <w:t>pkt</w:t>
      </w:r>
      <w:proofErr w:type="spellEnd"/>
      <w:r w:rsidRPr="008739C8">
        <w:t xml:space="preserve"> 1 </w:t>
      </w:r>
      <w:proofErr w:type="spellStart"/>
      <w:r w:rsidRPr="008739C8">
        <w:t>ppkt</w:t>
      </w:r>
      <w:proofErr w:type="spellEnd"/>
      <w:r w:rsidRPr="008739C8">
        <w:t xml:space="preserve"> b). Prosimy o zmianę wysokości kary z 1% na w wysokości 0,1% miesięcznego wynagrodzenia netto Umowy za każdy dzień zwłoki w odniesieniu do terminów wyrażonych w dniach ponieważ zaproponowana wartość jest nie współmierna i bardzo wysoka, co zasadniczo będzie miała wpływ na koszty jakie Wykonawca będzie musiał wziąć pod uwagę przy składaniu oferty. Pozostawienie treści SIWZ w takim brzmieniu narusza art. 5 </w:t>
      </w:r>
      <w:proofErr w:type="spellStart"/>
      <w:r w:rsidRPr="008739C8">
        <w:t>kc</w:t>
      </w:r>
      <w:proofErr w:type="spellEnd"/>
      <w:r w:rsidRPr="008739C8">
        <w:t xml:space="preserve">, art. 58 § 1 i 2 </w:t>
      </w:r>
      <w:proofErr w:type="spellStart"/>
      <w:r w:rsidRPr="008739C8">
        <w:t>kc</w:t>
      </w:r>
      <w:proofErr w:type="spellEnd"/>
      <w:r w:rsidRPr="008739C8">
        <w:t xml:space="preserve">. w zw. z art. 14 i 139 ustawy </w:t>
      </w:r>
      <w:proofErr w:type="spellStart"/>
      <w:r w:rsidRPr="008739C8">
        <w:t>Pzp</w:t>
      </w:r>
      <w:proofErr w:type="spellEnd"/>
      <w:r w:rsidRPr="008739C8">
        <w:t xml:space="preserve"> poprzez wprowadzenie zapisów godzących w elementarne zasady współżycia społecznego, mogących stanowić naruszenie dobrych obyczajów oraz zasad uczciwej konkurencji.</w:t>
      </w:r>
    </w:p>
    <w:p w:rsidR="00A350CA" w:rsidRPr="001E477D" w:rsidRDefault="00A350CA" w:rsidP="00A350CA">
      <w:pPr>
        <w:pStyle w:val="Akapitzlist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Tak, ale zgoda na zmianę do wysokości 0,1%  </w:t>
      </w:r>
      <w:r w:rsidRPr="001E477D">
        <w:rPr>
          <w:rFonts w:ascii="Verdana" w:hAnsi="Verdana"/>
          <w:b/>
          <w:bCs/>
          <w:sz w:val="20"/>
          <w:szCs w:val="20"/>
        </w:rPr>
        <w:t>Zamawiający publikuje zmodyfikowany Załącznik nr 4 – UMOWA PO ZMIANACH</w:t>
      </w:r>
    </w:p>
    <w:p w:rsidR="006D308F" w:rsidRPr="006D308F" w:rsidRDefault="006D308F" w:rsidP="00A350CA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</w:p>
    <w:p w:rsidR="00A350CA" w:rsidRPr="008739C8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8739C8">
        <w:t xml:space="preserve">Załącznik nr 4 Wzór umowy, par. 12 warunki rozwiązania umowy, </w:t>
      </w:r>
      <w:proofErr w:type="spellStart"/>
      <w:r w:rsidRPr="008739C8">
        <w:t>pkt</w:t>
      </w:r>
      <w:proofErr w:type="spellEnd"/>
      <w:r w:rsidRPr="008739C8">
        <w:t xml:space="preserve"> 1, </w:t>
      </w:r>
      <w:proofErr w:type="spellStart"/>
      <w:r w:rsidRPr="008739C8">
        <w:t>ppkt</w:t>
      </w:r>
      <w:proofErr w:type="spellEnd"/>
      <w:r w:rsidRPr="008739C8">
        <w:t xml:space="preserve"> 1). Prosimy o doprecyzowanie, że taka sytuacja ma miejsce w przypadku, w którym nałożone kary umowne wskazane w § 11 przekroczą 30% wartości całej Umowy.</w:t>
      </w:r>
    </w:p>
    <w:p w:rsidR="00A350CA" w:rsidRPr="001E477D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Nie, pozostawiamy zapisy SIWZ bez zmian. </w:t>
      </w:r>
    </w:p>
    <w:p w:rsidR="00A350CA" w:rsidRDefault="00A350CA" w:rsidP="00A350CA">
      <w:pPr>
        <w:numPr>
          <w:ilvl w:val="0"/>
          <w:numId w:val="18"/>
        </w:numPr>
        <w:spacing w:after="160" w:line="259" w:lineRule="auto"/>
        <w:ind w:left="0"/>
        <w:jc w:val="both"/>
      </w:pPr>
      <w:r w:rsidRPr="0046157C">
        <w:t xml:space="preserve">Załącznik nr 4 Wzór umowy, par. 12 warunki </w:t>
      </w:r>
      <w:r>
        <w:t xml:space="preserve">rozwiązania umowy, </w:t>
      </w:r>
      <w:proofErr w:type="spellStart"/>
      <w:r>
        <w:t>pkt</w:t>
      </w:r>
      <w:proofErr w:type="spellEnd"/>
      <w:r>
        <w:t xml:space="preserve"> 1, </w:t>
      </w:r>
      <w:proofErr w:type="spellStart"/>
      <w:r>
        <w:t>ppkt</w:t>
      </w:r>
      <w:proofErr w:type="spellEnd"/>
      <w:r>
        <w:t xml:space="preserve"> 2</w:t>
      </w:r>
      <w:r w:rsidRPr="0046157C">
        <w:t xml:space="preserve">). </w:t>
      </w:r>
      <w:r>
        <w:t>Prosimy o wykreślenie zapisu, gdyż z tytułu opóźnień w terminach realizacji Zamawiający może naliczyć kary i wprowadzenie w to miejsce nowego o treści „w przypadku, w </w:t>
      </w:r>
      <w:r w:rsidRPr="0046157C">
        <w:t>którym WYKONAWCA realizuje prace objęte Umową w sposó</w:t>
      </w:r>
      <w:r>
        <w:t>b rażąco nierzetelny lub w inny </w:t>
      </w:r>
      <w:r w:rsidRPr="0046157C">
        <w:t>sposób naruszy jej istotne postanowienia</w:t>
      </w:r>
      <w:r>
        <w:t xml:space="preserve">”. </w:t>
      </w:r>
    </w:p>
    <w:p w:rsidR="00A350CA" w:rsidRPr="001E477D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Nie, pozostawiamy zapisy SIWZ bez zmian. </w:t>
      </w:r>
    </w:p>
    <w:p w:rsidR="00A350CA" w:rsidRPr="002B0BA1" w:rsidRDefault="00A350CA" w:rsidP="00A350CA">
      <w:pPr>
        <w:pStyle w:val="Akapitzlist"/>
        <w:numPr>
          <w:ilvl w:val="0"/>
          <w:numId w:val="18"/>
        </w:numPr>
        <w:spacing w:after="160" w:line="259" w:lineRule="auto"/>
        <w:ind w:left="0"/>
        <w:contextualSpacing/>
        <w:jc w:val="both"/>
      </w:pPr>
      <w:r w:rsidRPr="00402006">
        <w:t xml:space="preserve">Prosimy o odpowiedź na pytanie, czy Zamawiający przewiduje możliwość udzielania zamówień, o których mowa w art. 67 ust. 1 </w:t>
      </w:r>
      <w:proofErr w:type="spellStart"/>
      <w:r w:rsidRPr="00402006">
        <w:t>pkt</w:t>
      </w:r>
      <w:proofErr w:type="spellEnd"/>
      <w:r w:rsidRPr="00402006">
        <w:t xml:space="preserve">  6 i 7?</w:t>
      </w:r>
    </w:p>
    <w:p w:rsidR="00A350CA" w:rsidRPr="001E477D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NIE. </w:t>
      </w:r>
    </w:p>
    <w:p w:rsidR="00A350CA" w:rsidRPr="0045184F" w:rsidRDefault="00A350CA" w:rsidP="00A350CA">
      <w:pPr>
        <w:pStyle w:val="Akapitzlist"/>
        <w:numPr>
          <w:ilvl w:val="0"/>
          <w:numId w:val="18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402006">
        <w:rPr>
          <w:lang w:val="fr-FR"/>
        </w:rPr>
        <w:t>Załącznik</w:t>
      </w:r>
      <w:r w:rsidRPr="00402006">
        <w:t xml:space="preserve"> nr 4 Umowa - </w:t>
      </w:r>
      <w:r w:rsidRPr="00402006">
        <w:rPr>
          <w:lang w:val="fr-FR"/>
        </w:rPr>
        <w:t>§ 3 ust.</w:t>
      </w:r>
      <w:r w:rsidRPr="00402006">
        <w:rPr>
          <w:b/>
          <w:lang w:val="fr-FR"/>
        </w:rPr>
        <w:t xml:space="preserve"> </w:t>
      </w:r>
      <w:r w:rsidRPr="00402006">
        <w:rPr>
          <w:lang w:val="fr-FR"/>
        </w:rPr>
        <w:t>7 : ’’</w:t>
      </w:r>
      <w:r w:rsidRPr="00402006">
        <w:t>Wykonawca w ramach przedmiotu niniejszej umowy zobowiązuje się do udzielania pomocy w postaci konsultacji telefonicznych, mailowych lub pomocy z wykorzystaniem dostępu zdalnego”</w:t>
      </w:r>
    </w:p>
    <w:p w:rsidR="00A350CA" w:rsidRPr="008739C8" w:rsidRDefault="00A350CA" w:rsidP="00A350CA">
      <w:pPr>
        <w:pStyle w:val="Akapitzlist"/>
        <w:ind w:left="0"/>
        <w:jc w:val="both"/>
        <w:rPr>
          <w:lang w:val="fr-FR"/>
        </w:rPr>
      </w:pPr>
      <w:r w:rsidRPr="0045184F">
        <w:rPr>
          <w:lang w:val="fr-FR"/>
        </w:rPr>
        <w:lastRenderedPageBreak/>
        <w:t xml:space="preserve">Ponieważ Zamawiający nie określa do jakich modułów wymaga świadczenia konsultacji, konsultacji telefonicznych, mailowych lub pomocy z wykorzystaniem dostępu zdalnego ani nie określa ilości godzin, które przewiduje na te prace, w rozumieniu Wykonawcy jest to opis nieprecyzyjny, wykraczający poza typowe usługi naprawy błędów (rozumiane jako usługi serwisowe) lub udostępnianie aktualizacji i udoskonaleń (nadzór autorski). W celu doprecyzowania zakresu i optymalizacji kosztów złożonych ofert, prosimy o rozważenie możliwości zamówienia dodatkowej usługi, jaką jest Nadzór Eksploatacyjny. Proponujemy, mając na uwadze ilość i zakres posiadanych </w:t>
      </w:r>
      <w:r w:rsidRPr="008739C8">
        <w:rPr>
          <w:lang w:val="fr-FR"/>
        </w:rPr>
        <w:t>licencji, 10 godzin usług Nadzoru Eksploatacyjnego  na miesiąc z zastrzeżeniem, że niewykorzystane godziny w danym miesiącu mogą zostać wykorzystane do końca okresu trwania Umowy. W obrębie usługi Zamawiający ma prawo do dowolnego wykorzystania określonych w Umowie ilości godzin serwisowych w okresie obowiązywania Umowy. Usługi świadczone w ramach godzin serwisowych mogą być realizowane w siedzibie ZAMAWIAJĄCEGO lub zdalnie. Przedmiotem usług mogą być wyszczególnionych poniżej prace o charakterze eksploatacyjnym, konserwacyjnym oraz konsultacyjnym z wyłączeniem motoru bazy danych: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Konsultacje z zakresu administracji i użytkowania Aplikacji,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 xml:space="preserve">Instalowanie Uaktualnień, 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 xml:space="preserve">Szkolenie administratorów z zakresu wprowadzanych zmian w Aplikacjach, 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Rekonfiguracja i parametryzacja Aplikacji, w celu zoptymalizowania i podniesienia sprawności ich działania,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Tworzenie nowych raportów oraz modyfikacje istniejących mające na celu dostosowanie ich zakresu tematycznego oraz graficznego do potrzeb ZAMAWIAJĄCEGO,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Tworzenie nowych wydruków na dokumentach dostarczonych w formie papierowej przez ZAMAWIAJĄCEGO oraz modyfikacje istniejących wydruków,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Pomoc w awaryjnym odtwarzaniu stanu Aplikacji i zgromadzonych danych archiwalnych na poprawnie zabezpieczonych na nośnikach danych,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 xml:space="preserve">Pomoc w przekazywaniu danych i sprawozdań do jednostek zewnętrznych (Organu założycielskiego, Ministerstwa Zdrowia, NFZ, Biura Rejestru Usług Medycznych, Centrum Organizacji Ochrony Zdrowia, Państwowego Zakładu Higieny, 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Dokonywanie ponownych instalacji Aplikacji i narzędzi w przypadkach zmiany infrastruktury informatycznej ZAMAWIAJĄCEGO (uwzględnia przeniesienie Aplikacji na inną platformę systemową),</w:t>
      </w:r>
    </w:p>
    <w:p w:rsidR="00A350CA" w:rsidRPr="008739C8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lang w:val="fr-FR"/>
        </w:rPr>
      </w:pPr>
      <w:r w:rsidRPr="008739C8">
        <w:rPr>
          <w:lang w:val="fr-FR"/>
        </w:rPr>
        <w:t>Doradztwo w zakresie rozbudowy środowiska informatycznego ZAMAWIAJĄCEGO.</w:t>
      </w:r>
    </w:p>
    <w:p w:rsidR="00A350CA" w:rsidRDefault="00A350CA" w:rsidP="00A350CA">
      <w:pPr>
        <w:pStyle w:val="Akapitzlist"/>
        <w:ind w:left="0"/>
        <w:jc w:val="both"/>
        <w:rPr>
          <w:color w:val="FF0000"/>
          <w:highlight w:val="yellow"/>
          <w:lang w:val="fr-FR"/>
        </w:rPr>
      </w:pPr>
    </w:p>
    <w:p w:rsidR="00A350CA" w:rsidRPr="001E477D" w:rsidRDefault="00A350CA" w:rsidP="00A350CA">
      <w:pPr>
        <w:pStyle w:val="Akapitzlist"/>
        <w:ind w:left="0"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 xml:space="preserve">ODPOWIEDŹ : Tak, zamawiający wyraża zgodę. Dodajemy zapis w umowie i modyfikujemy paragraf 3 ustęp 7 – </w:t>
      </w:r>
    </w:p>
    <w:p w:rsidR="00A350CA" w:rsidRPr="001E477D" w:rsidRDefault="00A350CA" w:rsidP="00A350CA">
      <w:pPr>
        <w:pStyle w:val="Akapitzlist"/>
        <w:ind w:left="0"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</w:rPr>
        <w:lastRenderedPageBreak/>
        <w:t>7. Wykonawca w ramach przedmiotu niniejszej umowy zobowiązuje się do udzielania pomocy w postaci konsultacji telefonicznych, mailowych lub pomocy z wykorzystaniem dostępu zdalnego w ramach</w:t>
      </w:r>
      <w:r w:rsidRPr="001E477D">
        <w:rPr>
          <w:rFonts w:ascii="Verdana" w:hAnsi="Verdana"/>
          <w:b/>
          <w:sz w:val="20"/>
          <w:szCs w:val="20"/>
          <w:lang w:val="fr-FR"/>
        </w:rPr>
        <w:t xml:space="preserve"> 10 godzin usług Nadzoru Eksploatacyjnego  na miesiąc z zastrzeżeniem, że niewykorzystane godziny w danym miesiącu mogą zostać wykorzystane do końca okresu trwania Umowy. W obrębie usługi Zamawiający ma prawo do dowolnego wykorzystania określonych w Umowie ilości godzin serwisowych w okresie obowiązywania Umowy. Usługi świadczone w ramach godzin serwisowych mogą być realizowane w siedzibie ZAMAWIAJĄCEGO lub zdalnie. Przedmiotem usług mogą być wyszczególnionych poniżej prace o charakterze eksploatacyjnym, konserwacyjnym oraz konsultacyjnym z wyłączeniem motoru bazy danych: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Konsultacje z zakresu administracji i użytkowania Aplikacji,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 xml:space="preserve">Instalowanie Uaktualnień, 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 xml:space="preserve">Szkolenie administratorów z zakresu wprowadzanych zmian w Aplikacjach, 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Rekonfiguracja i parametryzacja Aplikacji, w celu zoptymalizowania i podniesienia sprawności ich działania,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Tworzenie nowych raportów oraz modyfikacje istniejących mające na celu dostosowanie ich zakresu tematycznego oraz graficznego do potrzeb ZAMAWIAJĄCEGO,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Tworzenie nowych wydruków na dokumentach dostarczonych w formie papierowej przez ZAMAWIAJĄCEGO oraz modyfikacje istniejących wydruków,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Pomoc w awaryjnym odtwarzaniu stanu Aplikacji i zgromadzonych danych archiwalnych na poprawnie zabezpieczonych na nośnikach danych,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 xml:space="preserve">Pomoc w przekazywaniu danych i sprawozdań do jednostek zewnętrznych (Organu założycielskiego, Ministerstwa Zdrowia, NFZ, Biura Rejestru Usług Medycznych, Centrum Organizacji Ochrony Zdrowia, Państwowego Zakładu Higieny, 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Dokonywanie ponownych instalacji Aplikacji i narzędzi w przypadkach zmiany infrastruktury informatycznej ZAMAWIAJĄCEGO (uwzględnia przeniesienie Aplikacji na inną platformę systemową),</w:t>
      </w:r>
    </w:p>
    <w:p w:rsidR="00A350CA" w:rsidRPr="001E477D" w:rsidRDefault="00A350CA" w:rsidP="00A350CA">
      <w:pPr>
        <w:pStyle w:val="Akapitzlist"/>
        <w:numPr>
          <w:ilvl w:val="0"/>
          <w:numId w:val="19"/>
        </w:numPr>
        <w:spacing w:after="160" w:line="259" w:lineRule="auto"/>
        <w:ind w:left="0"/>
        <w:contextualSpacing/>
        <w:jc w:val="both"/>
        <w:rPr>
          <w:rFonts w:ascii="Verdana" w:hAnsi="Verdana"/>
          <w:b/>
          <w:sz w:val="20"/>
          <w:szCs w:val="20"/>
          <w:lang w:val="fr-FR"/>
        </w:rPr>
      </w:pPr>
      <w:r w:rsidRPr="001E477D">
        <w:rPr>
          <w:rFonts w:ascii="Verdana" w:hAnsi="Verdana"/>
          <w:b/>
          <w:sz w:val="20"/>
          <w:szCs w:val="20"/>
          <w:lang w:val="fr-FR"/>
        </w:rPr>
        <w:t>Doradztwo w zakresie rozbudowy środowiska informatycznego ZAMAWIAJĄCEGO.</w:t>
      </w:r>
    </w:p>
    <w:p w:rsidR="00A350CA" w:rsidRPr="001E477D" w:rsidRDefault="00A350CA" w:rsidP="00A350CA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</w:p>
    <w:p w:rsidR="00A350CA" w:rsidRPr="001E477D" w:rsidRDefault="00A350CA" w:rsidP="00A350CA">
      <w:pPr>
        <w:jc w:val="both"/>
        <w:rPr>
          <w:rFonts w:ascii="Verdana" w:hAnsi="Verdana"/>
          <w:b/>
          <w:sz w:val="20"/>
          <w:szCs w:val="20"/>
        </w:rPr>
      </w:pPr>
      <w:r w:rsidRPr="001E477D">
        <w:rPr>
          <w:rFonts w:ascii="Verdana" w:hAnsi="Verdana"/>
          <w:b/>
          <w:bCs/>
          <w:sz w:val="20"/>
          <w:szCs w:val="20"/>
        </w:rPr>
        <w:t>Zamawiający publikuje zmodyfikowany Załącznik nr 4 – UMOWA PO ZMIANACH</w:t>
      </w:r>
    </w:p>
    <w:p w:rsidR="00A350CA" w:rsidRPr="002B7123" w:rsidRDefault="00A350CA" w:rsidP="00A350CA">
      <w:pPr>
        <w:pStyle w:val="Akapitzlist"/>
        <w:ind w:left="0"/>
        <w:jc w:val="both"/>
        <w:rPr>
          <w:lang w:val="fr-FR"/>
        </w:rPr>
      </w:pPr>
    </w:p>
    <w:p w:rsidR="00A350CA" w:rsidRDefault="00A350CA" w:rsidP="00A350CA">
      <w:pPr>
        <w:pStyle w:val="Akapitzlist"/>
        <w:numPr>
          <w:ilvl w:val="0"/>
          <w:numId w:val="18"/>
        </w:numPr>
        <w:spacing w:after="160" w:line="259" w:lineRule="auto"/>
        <w:ind w:left="0"/>
        <w:contextualSpacing/>
        <w:jc w:val="both"/>
      </w:pPr>
      <w:r w:rsidRPr="00402006">
        <w:t>Pragniemy zwrócić uwagę na fakt, że Urząd Zamówień Publicznych opublikował dokument pn. "Analiza dobrych praktyk w zakresie realizacji umów IT, ze szczególnym uwzględnieniem specyfiki projektów informatycznych 7 Osi POIG”, rekomendując szerokie stosowanie jej w procedurach towarzyszących wydatkowan</w:t>
      </w:r>
      <w:r>
        <w:t>iu środków publicznych. Jedną z </w:t>
      </w:r>
      <w:r w:rsidRPr="00402006">
        <w:t>istotniejszych rekomendacji, jest wprowadzanie zapisów, zgodnie z którymi:</w:t>
      </w:r>
    </w:p>
    <w:p w:rsidR="00A350CA" w:rsidRDefault="00A350CA" w:rsidP="00A350CA">
      <w:pPr>
        <w:pStyle w:val="Akapitzlist"/>
        <w:ind w:left="0"/>
        <w:jc w:val="both"/>
      </w:pPr>
      <w:r w:rsidRPr="00402006">
        <w:lastRenderedPageBreak/>
        <w:t>- „Standardem w umowach dotyczących systemów informatycznych jest ograniczenie odpowiedzialności kontraktowej stron do określonej wysokości, określanej kwotowo lub do wartości umowy”.</w:t>
      </w:r>
    </w:p>
    <w:p w:rsidR="00A350CA" w:rsidRDefault="00A350CA" w:rsidP="00A350CA">
      <w:pPr>
        <w:pStyle w:val="Akapitzlist"/>
        <w:ind w:left="0"/>
        <w:jc w:val="both"/>
      </w:pPr>
      <w:r w:rsidRPr="00402006">
        <w:t xml:space="preserve">- „(…)standardowo w umowach IT, odpowiedzialność stron jest ograniczana do szkody rzeczywistej. Jest to podyktowane potrzebą wyeliminowania sytuacji, w której strona będzie odpowiadała za trudne do skwantyfikowania utracone korzyści drugiej strony.” </w:t>
      </w:r>
    </w:p>
    <w:p w:rsidR="00A350CA" w:rsidRDefault="00A350CA" w:rsidP="00A350CA">
      <w:pPr>
        <w:pStyle w:val="Akapitzlist"/>
        <w:ind w:left="0"/>
        <w:jc w:val="both"/>
      </w:pPr>
    </w:p>
    <w:p w:rsidR="00A350CA" w:rsidRPr="00402006" w:rsidRDefault="00A350CA" w:rsidP="00A350CA">
      <w:pPr>
        <w:pStyle w:val="Akapitzlist"/>
        <w:ind w:left="0"/>
        <w:jc w:val="both"/>
      </w:pPr>
      <w:r w:rsidRPr="00402006">
        <w:t>Mając na uwadze powyższe prosimy o zawarcie w umowie następującego limitu odpowiedzialności, którego wprowadzenie zniesie konieczność doliczania w ofertach Wykonawców kosztów ryzyka biznesowego, wynikającego chociażby z czynników niezależnych od Wykonawcy (np. irracjonalne terminy wejśc</w:t>
      </w:r>
      <w:r>
        <w:t>ia w życie zmian wynikających z </w:t>
      </w:r>
      <w:r w:rsidRPr="00402006">
        <w:t>aktów prawnych w tym rozporządzeń NFZ):</w:t>
      </w:r>
    </w:p>
    <w:p w:rsidR="00A350CA" w:rsidRDefault="00A350CA" w:rsidP="00A350CA">
      <w:pPr>
        <w:keepLines/>
        <w:autoSpaceDE w:val="0"/>
        <w:autoSpaceDN w:val="0"/>
        <w:spacing w:before="60"/>
        <w:jc w:val="both"/>
      </w:pPr>
      <w:r w:rsidRPr="00402006">
        <w:t>„Całkowita wzajemna odpowiedzialność odszkodowawcza Stron, ograniczona jest do wysokości wynagrodzenia, wypłaconego WYKONAWCY na podstawie Umowy.</w:t>
      </w:r>
      <w:bookmarkStart w:id="0" w:name="_Ref373159330"/>
      <w:r w:rsidRPr="00402006">
        <w:t>”</w:t>
      </w:r>
    </w:p>
    <w:p w:rsidR="00A350CA" w:rsidRPr="001E477D" w:rsidRDefault="00A350CA" w:rsidP="00A350CA">
      <w:pPr>
        <w:jc w:val="both"/>
        <w:rPr>
          <w:rFonts w:ascii="Verdana" w:hAnsi="Verdana"/>
          <w:b/>
          <w:i/>
          <w:strike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Nie, pozostawiamy zapisy SIWZ bez zmian. </w:t>
      </w:r>
    </w:p>
    <w:p w:rsidR="00A350CA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</w:pPr>
      <w:r w:rsidRPr="00402006">
        <w:t>Mając na uwadze postanowienia umów licencyjnych regulujących warunki, na których Zamawiający nabył Oprogramowanie aplikacyjne pr</w:t>
      </w:r>
      <w:r>
        <w:t>osimy o przeniesienie klauzul w </w:t>
      </w:r>
      <w:r w:rsidRPr="00402006">
        <w:t>nim zawartych do niniejszej umowy, par. 9 w brzmie</w:t>
      </w:r>
      <w:r>
        <w:t xml:space="preserve">niu:  „Wykonawca ponosi pełną </w:t>
      </w:r>
      <w:r w:rsidRPr="00EB0784">
        <w:t>i</w:t>
      </w:r>
      <w:r>
        <w:t> </w:t>
      </w:r>
      <w:r w:rsidRPr="00EB0784">
        <w:t>nieograniczoną</w:t>
      </w:r>
      <w:r w:rsidRPr="00402006">
        <w:t xml:space="preserve"> odpowiedzialność, w tym także z tytułu utraconych korzyści, za szkody wyrządzone Zamawiającemu umyślnym działaniem lub zaniechaniem. W pozostałym zakresie odpowiedzialność Wykonawcy z tytułu niewykonania lub nienależytego wykonania zobowiązań wynikających z niniejszej Umowy jest wyłączona.</w:t>
      </w:r>
      <w:bookmarkEnd w:id="0"/>
      <w:r w:rsidRPr="00402006">
        <w:t xml:space="preserve">” </w:t>
      </w:r>
    </w:p>
    <w:p w:rsidR="00A350CA" w:rsidRDefault="00A350CA" w:rsidP="00A350CA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  <w:r w:rsidRPr="001E477D">
        <w:rPr>
          <w:rFonts w:ascii="Verdana" w:hAnsi="Verdana"/>
          <w:b/>
          <w:sz w:val="20"/>
          <w:szCs w:val="20"/>
        </w:rPr>
        <w:t xml:space="preserve">ODPOWIEDŹ: Nie, pozostawiamy zapisy SIWZ bez zmian. </w:t>
      </w:r>
    </w:p>
    <w:p w:rsidR="001E477D" w:rsidRPr="001E477D" w:rsidRDefault="001E477D" w:rsidP="00A350CA">
      <w:pPr>
        <w:pStyle w:val="Akapitzlist"/>
        <w:ind w:left="0"/>
        <w:jc w:val="both"/>
        <w:rPr>
          <w:rFonts w:ascii="Verdana" w:hAnsi="Verdana"/>
          <w:b/>
          <w:i/>
          <w:strike/>
          <w:sz w:val="20"/>
          <w:szCs w:val="20"/>
        </w:rPr>
      </w:pPr>
    </w:p>
    <w:p w:rsidR="00A350CA" w:rsidRPr="008739C8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</w:pPr>
      <w:r w:rsidRPr="008739C8">
        <w:t>Załącznik 4a – Umowa powierzenia przetwarzania danych osobowych, ust. 7 a) – d).</w:t>
      </w:r>
    </w:p>
    <w:p w:rsidR="00A350CA" w:rsidRPr="008739C8" w:rsidRDefault="00A350CA" w:rsidP="00A350CA">
      <w:pPr>
        <w:keepLines/>
        <w:autoSpaceDE w:val="0"/>
        <w:autoSpaceDN w:val="0"/>
        <w:spacing w:before="60"/>
        <w:jc w:val="both"/>
      </w:pPr>
      <w:r w:rsidRPr="008739C8">
        <w:t xml:space="preserve">Prosimy o usunięcie zapisów a) – d) z punktu 7 oraz pozostanie jedynie przy wymogu złożenia </w:t>
      </w:r>
      <w:r w:rsidRPr="008739C8">
        <w:tab/>
        <w:t xml:space="preserve">przez podmiot przetwarzający jedynie oświadczenia o wdrożeniu odpowiednich środków </w:t>
      </w:r>
      <w:r w:rsidRPr="008739C8">
        <w:tab/>
        <w:t xml:space="preserve">technicznych i organizacyjnych  zapewniających adekwatny stopień bezpieczeństwa. </w:t>
      </w:r>
      <w:r w:rsidRPr="008739C8">
        <w:tab/>
      </w:r>
    </w:p>
    <w:p w:rsidR="00A350CA" w:rsidRPr="008739C8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8739C8">
        <w:t>Załącznik 4a – Umowa powierzenia przetwarzania danych osobowych, ust. 12: Podmiot przetwarzający zobowiązuje się do pomocy Administratorowi w niezbędnym zakresie wywiązywać się z obowiązku odpowiadania na żądania osoby, której dane dotyczą, w zakresie wykonywania jej praw określonych w rozdziale III RODO.</w:t>
      </w:r>
    </w:p>
    <w:p w:rsidR="00A350CA" w:rsidRPr="008739C8" w:rsidRDefault="00A350CA" w:rsidP="00A350CA">
      <w:pPr>
        <w:keepLines/>
        <w:autoSpaceDE w:val="0"/>
        <w:autoSpaceDN w:val="0"/>
        <w:spacing w:before="60"/>
        <w:jc w:val="both"/>
        <w:rPr>
          <w:rFonts w:ascii="Verdana" w:hAnsi="Verdana" w:cs="Arial"/>
          <w:sz w:val="20"/>
          <w:szCs w:val="20"/>
        </w:rPr>
      </w:pPr>
      <w:r w:rsidRPr="008739C8">
        <w:lastRenderedPageBreak/>
        <w:t>Prosimy o dodanie frazy „w miarę możliwości” po wyrażeniu „zobowiązuje się do”. Zapis taki wynika wprost z zapisów RODO.</w:t>
      </w:r>
    </w:p>
    <w:p w:rsidR="00A350CA" w:rsidRPr="008739C8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8739C8">
        <w:t>Załącznik 4a – Umowa powierzenia przetwarzania danych osobowych, ust. 15</w:t>
      </w:r>
    </w:p>
    <w:p w:rsidR="00A350CA" w:rsidRPr="008739C8" w:rsidRDefault="00A350CA" w:rsidP="00A350CA">
      <w:pPr>
        <w:keepLines/>
        <w:autoSpaceDE w:val="0"/>
        <w:autoSpaceDN w:val="0"/>
        <w:spacing w:before="60"/>
        <w:jc w:val="both"/>
        <w:rPr>
          <w:rFonts w:ascii="Verdana" w:hAnsi="Verdana" w:cs="Arial"/>
          <w:sz w:val="20"/>
          <w:szCs w:val="20"/>
        </w:rPr>
      </w:pPr>
      <w:r w:rsidRPr="008739C8">
        <w:t>Prosimy o usunięcie zapisu. Mając na uwadze potencjalne sankcje wynikające z zapisów RODO raz liczne zobowiązania wynikające z zapisów Umowy powierzenia, na które Podmiot przetwarzający się zgadza, dodatkowe kary umowne mogą skutkować przedłożeniem ofert, które zawierają wkalkulowane dodatkowe ryzyko biznesowe.</w:t>
      </w:r>
    </w:p>
    <w:p w:rsidR="00A350CA" w:rsidRPr="008739C8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  <w:rPr>
          <w:rFonts w:cs="Arial"/>
        </w:rPr>
      </w:pPr>
      <w:r w:rsidRPr="008739C8">
        <w:t xml:space="preserve">Załącznik 4a – Umowa powierzenia przetwarzania danych osobowych, ust. 16 a) </w:t>
      </w:r>
    </w:p>
    <w:p w:rsidR="00A350CA" w:rsidRPr="008739C8" w:rsidRDefault="00A350CA" w:rsidP="00A350CA">
      <w:pPr>
        <w:keepLines/>
        <w:autoSpaceDE w:val="0"/>
        <w:autoSpaceDN w:val="0"/>
        <w:spacing w:before="60"/>
        <w:jc w:val="both"/>
        <w:rPr>
          <w:rFonts w:cs="Arial"/>
        </w:rPr>
      </w:pPr>
      <w:r w:rsidRPr="008739C8">
        <w:rPr>
          <w:rFonts w:cs="Arial"/>
        </w:rPr>
        <w:t>Prosimy o wydłużenie terminu odpowiedzi do 7 dni roboczych. Zaproponowany termin 36 godzin od dostarczenia złożenia żądań, ze względu na potencjalnie szeroki zakres udzielanych wyjaśnień, jest niemożliwy do spełnienia. Dodatkowo prosimy o dopuszczenie korespondencji email jako środka komunikacji.</w:t>
      </w:r>
    </w:p>
    <w:p w:rsidR="00A350CA" w:rsidRPr="008739C8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  <w:rPr>
          <w:rFonts w:cs="Arial"/>
        </w:rPr>
      </w:pPr>
      <w:r w:rsidRPr="008739C8">
        <w:t>Załącznik 4a – Umowa powierzenia przetwarzania danych osobowych, ust. 16 b)</w:t>
      </w:r>
    </w:p>
    <w:p w:rsidR="00A350CA" w:rsidRPr="008739C8" w:rsidRDefault="00A350CA" w:rsidP="00A350CA">
      <w:pPr>
        <w:keepLines/>
        <w:autoSpaceDE w:val="0"/>
        <w:autoSpaceDN w:val="0"/>
        <w:spacing w:before="60"/>
        <w:jc w:val="both"/>
        <w:rPr>
          <w:rFonts w:cs="Arial"/>
        </w:rPr>
      </w:pPr>
      <w:r w:rsidRPr="008739C8">
        <w:rPr>
          <w:rFonts w:cs="Arial"/>
        </w:rPr>
        <w:t>Pragniemy zauważyć, że administratorowi przysługuje prawo do przeprowadzenia audytu i kontroli – punkt c. W związku z tym Administrator może uzyskać dostęp do wspominanej w punkcie b) dokumentacji, ale bez prawa do jej kopiowania. Ponieważ dokumentacja ta zawiera dane osobowe pracowników, jak również szereg zapisów dotyczących wewnętrznej organizacji procesu ochrony danych osobowych w podmiocie przetwarzającym, których ujawnianie nie leży w interesie podmiotu i może narazić go na ryzyko naruszeń, wnosimy o usunięcie punktu lub przeniesienie go do c) z zastrzeżeniem, ze Administrator jest uprawniony do wglądu do dokumentacji.</w:t>
      </w:r>
    </w:p>
    <w:p w:rsidR="00A350CA" w:rsidRPr="008739C8" w:rsidRDefault="00A350CA" w:rsidP="00A350CA">
      <w:pPr>
        <w:keepLines/>
        <w:numPr>
          <w:ilvl w:val="0"/>
          <w:numId w:val="18"/>
        </w:numPr>
        <w:autoSpaceDE w:val="0"/>
        <w:autoSpaceDN w:val="0"/>
        <w:spacing w:before="60" w:after="160" w:line="259" w:lineRule="auto"/>
        <w:ind w:left="0"/>
        <w:jc w:val="both"/>
        <w:rPr>
          <w:rFonts w:cs="Arial"/>
        </w:rPr>
      </w:pPr>
      <w:r w:rsidRPr="008739C8">
        <w:t>Załącznik 4a – Umowa powierzenia przetwarzania danych osobowych, ust. 17</w:t>
      </w:r>
    </w:p>
    <w:p w:rsidR="00A350CA" w:rsidRPr="008739C8" w:rsidRDefault="00A350CA" w:rsidP="00A350CA">
      <w:pPr>
        <w:keepLines/>
        <w:autoSpaceDE w:val="0"/>
        <w:autoSpaceDN w:val="0"/>
        <w:spacing w:before="60"/>
        <w:jc w:val="both"/>
        <w:rPr>
          <w:rFonts w:cs="Arial"/>
        </w:rPr>
      </w:pPr>
      <w:r w:rsidRPr="008739C8">
        <w:rPr>
          <w:rFonts w:cs="Arial"/>
        </w:rPr>
        <w:t>Prosimy o dodanie zapisu w którym Zamawiający dopuszcza możliwość negocjacji zaleceń dotyczących poprawy bezpieczeństwa. Jako podmiot świadczący usługi dla setek innych administratorów możemy nie sprostać wielu rożnym zadaniom i wymaganiom, niekiedy sprzecznym i rozbieżnym pochodzącym od różnych podmiotów. Mając jednak na uwadze duże znaczenie ochrony danych osobowych, wnioskujemy jak w zdaniu 1.</w:t>
      </w:r>
    </w:p>
    <w:p w:rsidR="00A350CA" w:rsidRPr="001E477D" w:rsidRDefault="00A350CA" w:rsidP="00A350CA">
      <w:pPr>
        <w:pStyle w:val="Akapitzlist"/>
        <w:ind w:left="0"/>
        <w:jc w:val="both"/>
        <w:rPr>
          <w:rFonts w:ascii="Verdana" w:hAnsi="Verdana"/>
          <w:b/>
          <w:i/>
          <w:strike/>
          <w:sz w:val="20"/>
          <w:szCs w:val="20"/>
        </w:rPr>
      </w:pPr>
      <w:r w:rsidRPr="001E477D">
        <w:rPr>
          <w:rFonts w:ascii="Verdana" w:hAnsi="Verdana"/>
          <w:color w:val="FF0000"/>
          <w:sz w:val="20"/>
          <w:szCs w:val="20"/>
        </w:rPr>
        <w:t xml:space="preserve"> </w:t>
      </w:r>
      <w:r w:rsidRPr="001E477D">
        <w:rPr>
          <w:rFonts w:ascii="Verdana" w:hAnsi="Verdana"/>
          <w:b/>
          <w:sz w:val="20"/>
          <w:szCs w:val="20"/>
        </w:rPr>
        <w:t xml:space="preserve">ODPOWIEDŹ ad 14-19: </w:t>
      </w:r>
      <w:r w:rsidR="006D308F" w:rsidRPr="001E477D">
        <w:rPr>
          <w:rFonts w:ascii="Verdana" w:hAnsi="Verdana"/>
          <w:b/>
          <w:sz w:val="20"/>
          <w:szCs w:val="20"/>
        </w:rPr>
        <w:t>Zamawiający</w:t>
      </w:r>
      <w:r w:rsidRPr="001E477D">
        <w:rPr>
          <w:rFonts w:ascii="Verdana" w:hAnsi="Verdana"/>
          <w:b/>
          <w:sz w:val="20"/>
          <w:szCs w:val="20"/>
        </w:rPr>
        <w:t xml:space="preserve"> pozostawia zapisy SIWZ bez zmian. </w:t>
      </w:r>
    </w:p>
    <w:sectPr w:rsidR="00A350CA" w:rsidRPr="001E477D" w:rsidSect="00601A55">
      <w:headerReference w:type="default" r:id="rId8"/>
      <w:footerReference w:type="default" r:id="rId9"/>
      <w:pgSz w:w="11906" w:h="16838" w:code="9"/>
      <w:pgMar w:top="2552" w:right="1418" w:bottom="354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08F" w:rsidRDefault="006D308F" w:rsidP="00F92ECB">
      <w:pPr>
        <w:spacing w:after="0" w:line="240" w:lineRule="auto"/>
      </w:pPr>
      <w:r>
        <w:separator/>
      </w:r>
    </w:p>
  </w:endnote>
  <w:endnote w:type="continuationSeparator" w:id="0">
    <w:p w:rsidR="006D308F" w:rsidRDefault="006D30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8F" w:rsidRDefault="006D30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08F" w:rsidRDefault="006D308F" w:rsidP="00F92ECB">
      <w:pPr>
        <w:spacing w:after="0" w:line="240" w:lineRule="auto"/>
      </w:pPr>
      <w:r>
        <w:separator/>
      </w:r>
    </w:p>
  </w:footnote>
  <w:footnote w:type="continuationSeparator" w:id="0">
    <w:p w:rsidR="006D308F" w:rsidRDefault="006D30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8F" w:rsidRDefault="006D30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1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274199A"/>
    <w:multiLevelType w:val="hybridMultilevel"/>
    <w:tmpl w:val="91EC936C"/>
    <w:lvl w:ilvl="0" w:tplc="17707A8A">
      <w:start w:val="1"/>
      <w:numFmt w:val="decimal"/>
      <w:lvlText w:val="Pytanie %1."/>
      <w:lvlJc w:val="left"/>
      <w:pPr>
        <w:ind w:left="107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30961D4"/>
    <w:multiLevelType w:val="hybridMultilevel"/>
    <w:tmpl w:val="27D6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63B01"/>
    <w:multiLevelType w:val="hybridMultilevel"/>
    <w:tmpl w:val="D3EA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820AC"/>
    <w:multiLevelType w:val="hybridMultilevel"/>
    <w:tmpl w:val="1A76A1E6"/>
    <w:lvl w:ilvl="0" w:tplc="F692F7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47539"/>
    <w:multiLevelType w:val="hybridMultilevel"/>
    <w:tmpl w:val="9FC600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7"/>
  </w:num>
  <w:num w:numId="7">
    <w:abstractNumId w:val="17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8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0093E"/>
    <w:rsid w:val="00015D1B"/>
    <w:rsid w:val="00025ED6"/>
    <w:rsid w:val="00030D6C"/>
    <w:rsid w:val="000324E4"/>
    <w:rsid w:val="00036158"/>
    <w:rsid w:val="00045C86"/>
    <w:rsid w:val="00052372"/>
    <w:rsid w:val="000546BB"/>
    <w:rsid w:val="000629F6"/>
    <w:rsid w:val="000644BE"/>
    <w:rsid w:val="00082D25"/>
    <w:rsid w:val="00085C1E"/>
    <w:rsid w:val="00094E62"/>
    <w:rsid w:val="000A0BE4"/>
    <w:rsid w:val="000A13FD"/>
    <w:rsid w:val="000A48FE"/>
    <w:rsid w:val="000A68AA"/>
    <w:rsid w:val="000D17A9"/>
    <w:rsid w:val="000E0963"/>
    <w:rsid w:val="000E19DB"/>
    <w:rsid w:val="000E6B39"/>
    <w:rsid w:val="000F1693"/>
    <w:rsid w:val="000F1FED"/>
    <w:rsid w:val="000F24E5"/>
    <w:rsid w:val="000F27F9"/>
    <w:rsid w:val="001100BA"/>
    <w:rsid w:val="00111199"/>
    <w:rsid w:val="00116EDA"/>
    <w:rsid w:val="00117B8E"/>
    <w:rsid w:val="001201EE"/>
    <w:rsid w:val="00121591"/>
    <w:rsid w:val="00125B01"/>
    <w:rsid w:val="00125BE9"/>
    <w:rsid w:val="00134E2D"/>
    <w:rsid w:val="00135923"/>
    <w:rsid w:val="00135F62"/>
    <w:rsid w:val="0014209F"/>
    <w:rsid w:val="00145EFC"/>
    <w:rsid w:val="00165A11"/>
    <w:rsid w:val="00170C9E"/>
    <w:rsid w:val="001765F3"/>
    <w:rsid w:val="0018319C"/>
    <w:rsid w:val="001848AD"/>
    <w:rsid w:val="001868E1"/>
    <w:rsid w:val="001872E6"/>
    <w:rsid w:val="00197452"/>
    <w:rsid w:val="001A07B8"/>
    <w:rsid w:val="001B181E"/>
    <w:rsid w:val="001B63BC"/>
    <w:rsid w:val="001E1AB8"/>
    <w:rsid w:val="001E477D"/>
    <w:rsid w:val="001E6D58"/>
    <w:rsid w:val="001F48C0"/>
    <w:rsid w:val="001F7200"/>
    <w:rsid w:val="00201E06"/>
    <w:rsid w:val="00203C23"/>
    <w:rsid w:val="00215E70"/>
    <w:rsid w:val="00223B63"/>
    <w:rsid w:val="00242C5D"/>
    <w:rsid w:val="0024399B"/>
    <w:rsid w:val="00244532"/>
    <w:rsid w:val="00250F73"/>
    <w:rsid w:val="002546EA"/>
    <w:rsid w:val="002551F6"/>
    <w:rsid w:val="00255499"/>
    <w:rsid w:val="00262561"/>
    <w:rsid w:val="002647F3"/>
    <w:rsid w:val="00266374"/>
    <w:rsid w:val="00273580"/>
    <w:rsid w:val="00275023"/>
    <w:rsid w:val="00282178"/>
    <w:rsid w:val="002846A4"/>
    <w:rsid w:val="00295BC9"/>
    <w:rsid w:val="002B6F4B"/>
    <w:rsid w:val="002C7A54"/>
    <w:rsid w:val="002D4198"/>
    <w:rsid w:val="002D6243"/>
    <w:rsid w:val="002E09D3"/>
    <w:rsid w:val="002E3653"/>
    <w:rsid w:val="002F04DB"/>
    <w:rsid w:val="00310279"/>
    <w:rsid w:val="00311F04"/>
    <w:rsid w:val="00317AFC"/>
    <w:rsid w:val="00320DFD"/>
    <w:rsid w:val="00327085"/>
    <w:rsid w:val="003351E2"/>
    <w:rsid w:val="00360C5A"/>
    <w:rsid w:val="003622A6"/>
    <w:rsid w:val="00365D7C"/>
    <w:rsid w:val="00377213"/>
    <w:rsid w:val="00381813"/>
    <w:rsid w:val="0038206C"/>
    <w:rsid w:val="00390D13"/>
    <w:rsid w:val="003A0CB8"/>
    <w:rsid w:val="003B10E1"/>
    <w:rsid w:val="003C3EB4"/>
    <w:rsid w:val="003C5625"/>
    <w:rsid w:val="003D0C50"/>
    <w:rsid w:val="003D2A98"/>
    <w:rsid w:val="003D364C"/>
    <w:rsid w:val="003D4AFA"/>
    <w:rsid w:val="003E65AC"/>
    <w:rsid w:val="003F74B1"/>
    <w:rsid w:val="003F7D5C"/>
    <w:rsid w:val="004069CA"/>
    <w:rsid w:val="00411454"/>
    <w:rsid w:val="00412084"/>
    <w:rsid w:val="0041235B"/>
    <w:rsid w:val="004139D5"/>
    <w:rsid w:val="00420AC0"/>
    <w:rsid w:val="00427DF8"/>
    <w:rsid w:val="004304B3"/>
    <w:rsid w:val="00432193"/>
    <w:rsid w:val="004377A4"/>
    <w:rsid w:val="004438E2"/>
    <w:rsid w:val="0048217C"/>
    <w:rsid w:val="00493488"/>
    <w:rsid w:val="00494AC8"/>
    <w:rsid w:val="00495BA3"/>
    <w:rsid w:val="004C047F"/>
    <w:rsid w:val="004D7C5D"/>
    <w:rsid w:val="004E0DB5"/>
    <w:rsid w:val="004F65AB"/>
    <w:rsid w:val="004F7089"/>
    <w:rsid w:val="00501DEF"/>
    <w:rsid w:val="0050211A"/>
    <w:rsid w:val="005044A4"/>
    <w:rsid w:val="00506C46"/>
    <w:rsid w:val="0050777C"/>
    <w:rsid w:val="00511770"/>
    <w:rsid w:val="00512EEA"/>
    <w:rsid w:val="00520BAB"/>
    <w:rsid w:val="005234D1"/>
    <w:rsid w:val="00525A58"/>
    <w:rsid w:val="005311DE"/>
    <w:rsid w:val="00537561"/>
    <w:rsid w:val="005407CA"/>
    <w:rsid w:val="00554D65"/>
    <w:rsid w:val="00555B48"/>
    <w:rsid w:val="00561630"/>
    <w:rsid w:val="005619BE"/>
    <w:rsid w:val="00576F66"/>
    <w:rsid w:val="005931FB"/>
    <w:rsid w:val="005944C7"/>
    <w:rsid w:val="005961DF"/>
    <w:rsid w:val="005B3808"/>
    <w:rsid w:val="005B5FE6"/>
    <w:rsid w:val="005B7A86"/>
    <w:rsid w:val="005B7D5E"/>
    <w:rsid w:val="005E40A7"/>
    <w:rsid w:val="005F5F57"/>
    <w:rsid w:val="00600361"/>
    <w:rsid w:val="00601A55"/>
    <w:rsid w:val="00605620"/>
    <w:rsid w:val="00606710"/>
    <w:rsid w:val="00611144"/>
    <w:rsid w:val="00611962"/>
    <w:rsid w:val="0063457C"/>
    <w:rsid w:val="00641B7E"/>
    <w:rsid w:val="006512A8"/>
    <w:rsid w:val="006600AC"/>
    <w:rsid w:val="0066266B"/>
    <w:rsid w:val="006915B8"/>
    <w:rsid w:val="006A1FF1"/>
    <w:rsid w:val="006A4933"/>
    <w:rsid w:val="006A5CB0"/>
    <w:rsid w:val="006B04DF"/>
    <w:rsid w:val="006B16ED"/>
    <w:rsid w:val="006B3B43"/>
    <w:rsid w:val="006C4D71"/>
    <w:rsid w:val="006D0EC9"/>
    <w:rsid w:val="006D308F"/>
    <w:rsid w:val="006D3605"/>
    <w:rsid w:val="006E2B2C"/>
    <w:rsid w:val="006F3AEB"/>
    <w:rsid w:val="006F5452"/>
    <w:rsid w:val="00706593"/>
    <w:rsid w:val="00726817"/>
    <w:rsid w:val="00726F0B"/>
    <w:rsid w:val="00730499"/>
    <w:rsid w:val="00730FA1"/>
    <w:rsid w:val="00731B02"/>
    <w:rsid w:val="0074640A"/>
    <w:rsid w:val="007517C0"/>
    <w:rsid w:val="0075759B"/>
    <w:rsid w:val="007724B5"/>
    <w:rsid w:val="00774725"/>
    <w:rsid w:val="007773CB"/>
    <w:rsid w:val="007807E3"/>
    <w:rsid w:val="007966D6"/>
    <w:rsid w:val="007A1D6C"/>
    <w:rsid w:val="007A3238"/>
    <w:rsid w:val="007A36A6"/>
    <w:rsid w:val="007A55B8"/>
    <w:rsid w:val="007B0A95"/>
    <w:rsid w:val="007B0C3C"/>
    <w:rsid w:val="007B67D1"/>
    <w:rsid w:val="007D1038"/>
    <w:rsid w:val="007D29FD"/>
    <w:rsid w:val="007D314C"/>
    <w:rsid w:val="007D3371"/>
    <w:rsid w:val="007D5472"/>
    <w:rsid w:val="007E46C3"/>
    <w:rsid w:val="007E52DE"/>
    <w:rsid w:val="00812090"/>
    <w:rsid w:val="00825E74"/>
    <w:rsid w:val="00837A93"/>
    <w:rsid w:val="0084296E"/>
    <w:rsid w:val="00853F00"/>
    <w:rsid w:val="00854AE2"/>
    <w:rsid w:val="0087411E"/>
    <w:rsid w:val="00875016"/>
    <w:rsid w:val="008809B6"/>
    <w:rsid w:val="00886CEA"/>
    <w:rsid w:val="0089020A"/>
    <w:rsid w:val="008911DD"/>
    <w:rsid w:val="0089691A"/>
    <w:rsid w:val="008D5707"/>
    <w:rsid w:val="0090581D"/>
    <w:rsid w:val="00910308"/>
    <w:rsid w:val="00917DB6"/>
    <w:rsid w:val="009249F6"/>
    <w:rsid w:val="00926C0F"/>
    <w:rsid w:val="0093035A"/>
    <w:rsid w:val="00941ACB"/>
    <w:rsid w:val="009567B1"/>
    <w:rsid w:val="009703BB"/>
    <w:rsid w:val="00983C9F"/>
    <w:rsid w:val="009B0855"/>
    <w:rsid w:val="009B7622"/>
    <w:rsid w:val="009D0B42"/>
    <w:rsid w:val="009D5581"/>
    <w:rsid w:val="009E7540"/>
    <w:rsid w:val="009F2AB4"/>
    <w:rsid w:val="009F3B23"/>
    <w:rsid w:val="00A0473D"/>
    <w:rsid w:val="00A06635"/>
    <w:rsid w:val="00A07AEC"/>
    <w:rsid w:val="00A15E8A"/>
    <w:rsid w:val="00A30482"/>
    <w:rsid w:val="00A314EA"/>
    <w:rsid w:val="00A350CA"/>
    <w:rsid w:val="00A37191"/>
    <w:rsid w:val="00A46BEF"/>
    <w:rsid w:val="00A52383"/>
    <w:rsid w:val="00A60A62"/>
    <w:rsid w:val="00A66F3D"/>
    <w:rsid w:val="00A73B9A"/>
    <w:rsid w:val="00A76460"/>
    <w:rsid w:val="00A76F7D"/>
    <w:rsid w:val="00A8483A"/>
    <w:rsid w:val="00A921A0"/>
    <w:rsid w:val="00A92C5C"/>
    <w:rsid w:val="00A92F65"/>
    <w:rsid w:val="00AA6A94"/>
    <w:rsid w:val="00AB1087"/>
    <w:rsid w:val="00AB2075"/>
    <w:rsid w:val="00AB3DDC"/>
    <w:rsid w:val="00AC0213"/>
    <w:rsid w:val="00AC1233"/>
    <w:rsid w:val="00AD1845"/>
    <w:rsid w:val="00AD1F60"/>
    <w:rsid w:val="00AD2EDF"/>
    <w:rsid w:val="00AF1B45"/>
    <w:rsid w:val="00B00479"/>
    <w:rsid w:val="00B03EC9"/>
    <w:rsid w:val="00B044E8"/>
    <w:rsid w:val="00B07D8B"/>
    <w:rsid w:val="00B1334C"/>
    <w:rsid w:val="00B1556E"/>
    <w:rsid w:val="00B27ECD"/>
    <w:rsid w:val="00B37052"/>
    <w:rsid w:val="00B472D2"/>
    <w:rsid w:val="00B57FC3"/>
    <w:rsid w:val="00B62294"/>
    <w:rsid w:val="00B655B1"/>
    <w:rsid w:val="00B7213E"/>
    <w:rsid w:val="00BC30CC"/>
    <w:rsid w:val="00BC62D2"/>
    <w:rsid w:val="00BE042B"/>
    <w:rsid w:val="00C056AC"/>
    <w:rsid w:val="00C11453"/>
    <w:rsid w:val="00C233B1"/>
    <w:rsid w:val="00C23563"/>
    <w:rsid w:val="00C2411B"/>
    <w:rsid w:val="00C2619B"/>
    <w:rsid w:val="00C33869"/>
    <w:rsid w:val="00C348F6"/>
    <w:rsid w:val="00C40261"/>
    <w:rsid w:val="00C403CF"/>
    <w:rsid w:val="00C47649"/>
    <w:rsid w:val="00C6162C"/>
    <w:rsid w:val="00C70D7A"/>
    <w:rsid w:val="00C72FD4"/>
    <w:rsid w:val="00C76B86"/>
    <w:rsid w:val="00C83EB6"/>
    <w:rsid w:val="00C87937"/>
    <w:rsid w:val="00C916C8"/>
    <w:rsid w:val="00C938E1"/>
    <w:rsid w:val="00C93D0F"/>
    <w:rsid w:val="00C974B0"/>
    <w:rsid w:val="00CA0AC4"/>
    <w:rsid w:val="00CA52E7"/>
    <w:rsid w:val="00CA5471"/>
    <w:rsid w:val="00CA779E"/>
    <w:rsid w:val="00CB0FD7"/>
    <w:rsid w:val="00CB1E86"/>
    <w:rsid w:val="00CB2CAA"/>
    <w:rsid w:val="00CB7FFB"/>
    <w:rsid w:val="00CC12C0"/>
    <w:rsid w:val="00CC201B"/>
    <w:rsid w:val="00CC2E3F"/>
    <w:rsid w:val="00CC326B"/>
    <w:rsid w:val="00CC3824"/>
    <w:rsid w:val="00CC4D1D"/>
    <w:rsid w:val="00CD59AE"/>
    <w:rsid w:val="00CE3258"/>
    <w:rsid w:val="00CF4249"/>
    <w:rsid w:val="00CF4FD0"/>
    <w:rsid w:val="00D00BE8"/>
    <w:rsid w:val="00D00D8A"/>
    <w:rsid w:val="00D026DE"/>
    <w:rsid w:val="00D10B6F"/>
    <w:rsid w:val="00D11066"/>
    <w:rsid w:val="00D12B20"/>
    <w:rsid w:val="00D31575"/>
    <w:rsid w:val="00D3483D"/>
    <w:rsid w:val="00D42C33"/>
    <w:rsid w:val="00D4522F"/>
    <w:rsid w:val="00D468CA"/>
    <w:rsid w:val="00D52116"/>
    <w:rsid w:val="00D56902"/>
    <w:rsid w:val="00D57965"/>
    <w:rsid w:val="00D60824"/>
    <w:rsid w:val="00D80B3A"/>
    <w:rsid w:val="00D86100"/>
    <w:rsid w:val="00DA11CA"/>
    <w:rsid w:val="00DA4BB2"/>
    <w:rsid w:val="00DB1432"/>
    <w:rsid w:val="00DB21E7"/>
    <w:rsid w:val="00DD2207"/>
    <w:rsid w:val="00DD238A"/>
    <w:rsid w:val="00DD5E1A"/>
    <w:rsid w:val="00DD7BFC"/>
    <w:rsid w:val="00DE2F24"/>
    <w:rsid w:val="00DE3BDE"/>
    <w:rsid w:val="00DE4813"/>
    <w:rsid w:val="00DF62F0"/>
    <w:rsid w:val="00E02A17"/>
    <w:rsid w:val="00E13AB8"/>
    <w:rsid w:val="00E212B3"/>
    <w:rsid w:val="00E21C25"/>
    <w:rsid w:val="00E22596"/>
    <w:rsid w:val="00E439FD"/>
    <w:rsid w:val="00E43D68"/>
    <w:rsid w:val="00E45F8E"/>
    <w:rsid w:val="00E47500"/>
    <w:rsid w:val="00E543C1"/>
    <w:rsid w:val="00E73575"/>
    <w:rsid w:val="00E75DCC"/>
    <w:rsid w:val="00E827CD"/>
    <w:rsid w:val="00E831F8"/>
    <w:rsid w:val="00E83C40"/>
    <w:rsid w:val="00E85914"/>
    <w:rsid w:val="00E911F2"/>
    <w:rsid w:val="00E96AB1"/>
    <w:rsid w:val="00EB2BE5"/>
    <w:rsid w:val="00EC2AA7"/>
    <w:rsid w:val="00ED6728"/>
    <w:rsid w:val="00F03F58"/>
    <w:rsid w:val="00F11203"/>
    <w:rsid w:val="00F133A1"/>
    <w:rsid w:val="00F23361"/>
    <w:rsid w:val="00F23E92"/>
    <w:rsid w:val="00F5227F"/>
    <w:rsid w:val="00F54BB2"/>
    <w:rsid w:val="00F56458"/>
    <w:rsid w:val="00F768FD"/>
    <w:rsid w:val="00F80045"/>
    <w:rsid w:val="00F86505"/>
    <w:rsid w:val="00F928A4"/>
    <w:rsid w:val="00F92A6C"/>
    <w:rsid w:val="00F92ECB"/>
    <w:rsid w:val="00FA616E"/>
    <w:rsid w:val="00FB15B3"/>
    <w:rsid w:val="00FB6ABC"/>
    <w:rsid w:val="00FC09C9"/>
    <w:rsid w:val="00FC13E0"/>
    <w:rsid w:val="00FC3A5C"/>
    <w:rsid w:val="00FD0FB6"/>
    <w:rsid w:val="00FD435F"/>
    <w:rsid w:val="00FD5554"/>
    <w:rsid w:val="00FF2806"/>
    <w:rsid w:val="00FF2D9A"/>
    <w:rsid w:val="00FF609F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E7357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554D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54D65"/>
    <w:rPr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4D71"/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412084"/>
    <w:pPr>
      <w:widowControl w:val="0"/>
      <w:autoSpaceDE w:val="0"/>
      <w:autoSpaceDN w:val="0"/>
      <w:adjustRightInd w:val="0"/>
      <w:spacing w:after="0" w:line="254" w:lineRule="exact"/>
      <w:ind w:hanging="40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68E1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1868E1"/>
    <w:rPr>
      <w:rFonts w:ascii="Arial" w:eastAsia="Times New Roman" w:hAnsi="Arial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zp.gov.pl/baza-wiedzy/interpretacja-przepisow/pytania-i-odpowiedzi-dotyczace-nowelizacji-ustawy-prawo-zamowien-publicznych/kwalifikacja-podmiotowa-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2181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Sylwia Zielińska</dc:creator>
  <cp:lastModifiedBy>Agnieszka Sewastynowicz</cp:lastModifiedBy>
  <cp:revision>5</cp:revision>
  <cp:lastPrinted>2010-07-30T12:43:00Z</cp:lastPrinted>
  <dcterms:created xsi:type="dcterms:W3CDTF">2018-06-05T08:39:00Z</dcterms:created>
  <dcterms:modified xsi:type="dcterms:W3CDTF">2018-06-05T09:36:00Z</dcterms:modified>
</cp:coreProperties>
</file>