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101" w:rsidRDefault="00F54101" w:rsidP="00F54101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nr 1</w:t>
      </w:r>
    </w:p>
    <w:p w:rsidR="00F54101" w:rsidRDefault="00F54101" w:rsidP="00F54101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3</w:t>
      </w:r>
    </w:p>
    <w:p w:rsidR="00F54101" w:rsidRDefault="00F54101" w:rsidP="00F54101">
      <w:pPr>
        <w:spacing w:line="360" w:lineRule="auto"/>
        <w:rPr>
          <w:rFonts w:ascii="Tahoma" w:hAnsi="Tahoma" w:cs="Tahoma"/>
          <w:b/>
        </w:rPr>
      </w:pPr>
      <w:r w:rsidRPr="00F54101">
        <w:rPr>
          <w:rFonts w:ascii="Tahoma" w:hAnsi="Tahoma" w:cs="Tahoma"/>
          <w:b/>
        </w:rPr>
        <w:t>Ultrasonograf</w:t>
      </w:r>
      <w:r>
        <w:rPr>
          <w:rFonts w:ascii="Tahoma" w:hAnsi="Tahoma" w:cs="Tahoma"/>
          <w:b/>
        </w:rPr>
        <w:t xml:space="preserve"> – 1 szt.</w:t>
      </w:r>
    </w:p>
    <w:tbl>
      <w:tblPr>
        <w:tblStyle w:val="a"/>
        <w:tblW w:w="8865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20"/>
        <w:gridCol w:w="7545"/>
      </w:tblGrid>
      <w:tr w:rsidR="00850F13" w:rsidRPr="00A7663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13" w:rsidRPr="002F3C3B" w:rsidRDefault="00850F13">
            <w:pPr>
              <w:ind w:left="3"/>
              <w:rPr>
                <w:rFonts w:ascii="Tahoma" w:eastAsia="Times New Roman" w:hAnsi="Tahoma" w:cs="Tahoma"/>
                <w:b/>
                <w:sz w:val="22"/>
                <w:szCs w:val="22"/>
              </w:rPr>
            </w:pPr>
            <w:r w:rsidRPr="002F3C3B">
              <w:rPr>
                <w:rFonts w:ascii="Tahoma" w:eastAsia="Times New Roman" w:hAnsi="Tahoma" w:cs="Tahoma"/>
                <w:b/>
                <w:sz w:val="22"/>
                <w:szCs w:val="22"/>
              </w:rPr>
              <w:t>Lp.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0F13" w:rsidRPr="002F3C3B" w:rsidRDefault="00850F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</w:rPr>
            </w:pPr>
            <w:r w:rsidRPr="002F3C3B">
              <w:rPr>
                <w:rFonts w:ascii="Tahoma" w:eastAsia="Times New Roman" w:hAnsi="Tahoma" w:cs="Tahoma"/>
                <w:b/>
                <w:color w:val="000000"/>
                <w:sz w:val="22"/>
                <w:szCs w:val="22"/>
              </w:rPr>
              <w:t>Parametry graniczne (wymagane)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 w:rsidP="003B2358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Aparat mobilny, przenośny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Wag</w:t>
            </w:r>
            <w:r w:rsidR="008E677B" w:rsidRPr="002F3C3B">
              <w:rPr>
                <w:rFonts w:ascii="Tahoma" w:eastAsia="Calibri" w:hAnsi="Tahoma" w:cs="Tahoma"/>
                <w:sz w:val="22"/>
                <w:szCs w:val="22"/>
              </w:rPr>
              <w:t>a aparatu wraz z baterią max.</w:t>
            </w:r>
            <w:r w:rsidR="00E10564">
              <w:rPr>
                <w:rFonts w:ascii="Tahoma" w:eastAsia="Calibri" w:hAnsi="Tahoma" w:cs="Tahoma"/>
                <w:sz w:val="22"/>
                <w:szCs w:val="22"/>
              </w:rPr>
              <w:t xml:space="preserve"> 8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kg, monitor o przekątnej min. 15’’, wyposażony w uchwyt transportowy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Liczba proceso</w:t>
            </w:r>
            <w:r w:rsidR="00262637" w:rsidRPr="002F3C3B">
              <w:rPr>
                <w:rFonts w:ascii="Tahoma" w:eastAsia="Calibri" w:hAnsi="Tahoma" w:cs="Tahoma"/>
                <w:sz w:val="22"/>
                <w:szCs w:val="22"/>
              </w:rPr>
              <w:t>wych kanałów odbiorczych min.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 680 000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Zasilanie zgodne z Polską Normą (230V; 50Hz)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Wbudowany w ultrasonograf akumulator pozwalający na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pracę bez zasilania w czasie min. 50 minut</w:t>
            </w:r>
          </w:p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Czas potrzebny na uruchomienie aparatu max. 30 sek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Wózek z możliwością podłączenia min 3 głowic z regulowaną wysokością, waga poniżej 50 kg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C36509" w:rsidP="00C36509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Regulacja monitora w zakresie</w:t>
            </w:r>
            <w:r w:rsidR="00201B6B" w:rsidRPr="002F3C3B">
              <w:rPr>
                <w:rFonts w:ascii="Tahoma" w:eastAsia="Calibri" w:hAnsi="Tahoma" w:cs="Tahoma"/>
                <w:sz w:val="22"/>
                <w:szCs w:val="22"/>
              </w:rPr>
              <w:t xml:space="preserve"> pochyleni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>a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Klawiatura alfanumeryczna do wpisywania danych pacjentów oraz komentarzy i opisów obrazu oraz badań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Wymagana dynamika aparat</w:t>
            </w:r>
            <w:r w:rsidR="00C36509" w:rsidRPr="002F3C3B">
              <w:rPr>
                <w:rFonts w:ascii="Tahoma" w:eastAsia="Calibri" w:hAnsi="Tahoma" w:cs="Tahoma"/>
                <w:sz w:val="22"/>
                <w:szCs w:val="22"/>
              </w:rPr>
              <w:t>u wyświetlana na ekranie min.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 180 dB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Wewnętrzny dysk twardy SSD o pojemności min. 125 GB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Nagrywarka DVD R/RW wbudowana w aparat, formaty zapisu DICOM, AVI, JPG. Automatycznie dodawana przeglądarka plików w formacie DICOM 3.0 przy archiwizacji na nośniki zewnętrzne</w:t>
            </w:r>
          </w:p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Aktywne min. 2 gniazda USB do archiwizacji obrazów statycznych oraz ruchomych na przenośnej pamięci USB(Flash, Pendrive)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ukrycia danych pacjenta przy archiwizacji na zewnętrzne nośniki</w:t>
            </w:r>
          </w:p>
        </w:tc>
      </w:tr>
      <w:tr w:rsidR="00201B6B" w:rsidTr="00C26E4E">
        <w:trPr>
          <w:trHeight w:val="104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 w:rsidP="00C36509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Zakres częstotliwości pracy ultrasonografu (zakres częstotliwości fundamentalnych [nie harmonicznych] emitowanych przez głowice obrazowe) –  min. 1,0 do 16,0 MHz (+/- 1)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Videoprinter czarno-biały małego formatu, 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Regulacja głębokości penetracji w zakresie min. od 1 cm do 30 cm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Regulacja wzmocnienia głębokościowego (TGC) min. 8 stref/suwaków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Obrazowanie harmoniczne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Obrazowanie harmoniczne z odwróceniem impulsu (inwersją fazy)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Tryb Color Doppler: PRF min. 0,1-18,2 KHz, min 15 map koloru, prędkość 2,25 cm/s-5,5m/s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Tryb power doppler: PRF 1-23 KHz, bramka 05-15 mm, min. Prędkość przy 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lastRenderedPageBreak/>
              <w:t>zerowym kącie 5 cm/s, maksymalna przy zerowym kącie min. 3 m/s, automatyczne kalkulacje, szybka zmiana kąta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Power Doppler z oznaczeniem kierunku przepływu, PRF min. 0,1-18,3 KHz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Doppler CW z prędkością powyżej 8,1 m/s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Jednoczesne wyświetlanie na ekranie dwóch obrazów w czasie rzeczywistym typu B i B/CD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Specjalistyczne oprogramowanie do badań klatki piersiowej w tym płuc ,  jamy brzusznej, małych narządów (piersi, tarczyca, jądra, powierzchniowe), mięśniowo-szkieletowych, naczyniowych i kardiologicznych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Min. 8-stopniowe powiększenie obrazu w czasie rzeczywistym Powiększenie bez utraty rozdzielczości (wysokiej rozdzielczości) obrazu w czasie rzeczywistym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Min. 8-stopniowe powiększenia obrazu zamrożonego. 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Powiększenie bez utraty rozdzielczości (wysokiej rozdzielczości) obrazu zamrożonego 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Automatyczna optymalizacja obrazu 2D przy pomocy jednego przycisku (m.in. automatyczne dopasowanie wzmocnienia obrazu)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Automatyczna optymalizacja widma dopplerowskiego przy pomocy jednego przycisku (m.in. automatyczne dopasowanie linii bazowej oraz PRF)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Praca w trybie wielokierunkowego emitowania i składania wiązki ultradźwiękowej z głowic w</w:t>
            </w:r>
            <w:r w:rsidR="009B36F3" w:rsidRPr="002F3C3B">
              <w:rPr>
                <w:rFonts w:ascii="Tahoma" w:eastAsia="Calibri" w:hAnsi="Tahoma" w:cs="Tahoma"/>
                <w:sz w:val="22"/>
                <w:szCs w:val="22"/>
              </w:rPr>
              <w:t xml:space="preserve"> pełni elektronicznych, z min. 5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 kątami emitowania wiązki tworzącymi obraz 2D na wszystkich zaoferowanych głowicach. Wymóg pracy dla trybu 2D oraz w trybie obrazowania harmonicznego.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Automatyczny obrys spektrum i wyznaczanie parametrów przepływu na zatrzymanym spektrum oraz w czasie rzeczywistym na ruchomym spektrum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Adaptacyjne przetwarzanie obrazu redukujące artefakty i szumy, np. SRI, XRes, DTCA lub równoważny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zaprogramowania w aparacie nowych pomiarów oraz kalkulacji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Pomiar odległości, min. 10 pomiarów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Pomiar obwodu, pola powierzchni, objętości, kątów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>Głowica convex do badań jamy brzusznej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>S</w:t>
            </w:r>
            <w:r w:rsidRPr="002F3C3B">
              <w:rPr>
                <w:rFonts w:ascii="Tahoma" w:eastAsia="Calibri" w:hAnsi="Tahoma" w:cs="Tahoma"/>
                <w:sz w:val="22"/>
                <w:szCs w:val="22"/>
              </w:rPr>
              <w:t>zerokopasmowa o zakresie częstotliwości min. 1.0 – 8.0 MHz (± 1 MHz)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Liczba elementów min. 160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Kąt pola widzenia głowicy min. 70 stopni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zastosowania przystawki biopsyjnej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>Głowica liniowa do badań mięśniowo-szkieletowych oraz naczyniowych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Szerokopasmowa o zakresie częstotliwości min 2.0 – 15.0 MHz (± 1 MHz)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Liczba elementów akustycznych min. 191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Szerokość pole widzenia głowicy 38-39 mm przy wyłączonym obrazowaniu trapezoidalnym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zastosowania przystawki biopsyjnej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b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b/>
                <w:sz w:val="22"/>
                <w:szCs w:val="22"/>
              </w:rPr>
              <w:t>Głowica sektorowa do badań kardiologicznych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Szerokopasmowa o zakresie częstotliwości min 2.0 – 5.0 MHz (± 1 MHz)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Liczba elementów akustycznych min. 80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Szerokość pole widzenia min. 90 stopni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Oprogramowanie do przesyłania obrazów i danych zgodnych z standardem DICOM 3.0 z min. następującymi funkcjami: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- DICOM Store;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- DICOM Worklist;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- DICOM Print,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- kardiologiczne raporty strukturalne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Raporty dla każdego rodzaju i trybu badania z możliwością dołączenia obrazów do raportów </w:t>
            </w:r>
          </w:p>
        </w:tc>
      </w:tr>
      <w:tr w:rsidR="00201B6B" w:rsidTr="00C26E4E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rozbudowy o głowicę kardiologiczną przezprzełykową, Szerokopasmowa o zakresie częstotliwości min. 3.0 – 7.0 MHz (± 1 MHz), liczba elementów min. 64</w:t>
            </w:r>
          </w:p>
        </w:tc>
      </w:tr>
      <w:tr w:rsidR="00201B6B" w:rsidTr="00C26E4E">
        <w:trPr>
          <w:trHeight w:val="66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 xml:space="preserve">Możliwość rozbudowy o obrazowanie 3D i 4D z głowic objętościowych (wolumetrycznych) typu convex </w:t>
            </w:r>
          </w:p>
        </w:tc>
      </w:tr>
      <w:tr w:rsidR="00201B6B" w:rsidTr="00C26E4E">
        <w:trPr>
          <w:trHeight w:val="66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numPr>
                <w:ilvl w:val="0"/>
                <w:numId w:val="1"/>
              </w:numPr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spacing w:after="160" w:line="259" w:lineRule="auto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Możliwość rozbudowy o obrazowanie tomograficzne na obrazie żywym i zamrożonym w trybie 3D/4D.</w:t>
            </w:r>
          </w:p>
        </w:tc>
      </w:tr>
      <w:tr w:rsidR="00201B6B" w:rsidTr="00C26E4E">
        <w:trPr>
          <w:trHeight w:val="92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1368A6">
            <w:pPr>
              <w:ind w:left="720" w:hanging="36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53</w:t>
            </w:r>
            <w:r w:rsidR="00201B6B" w:rsidRPr="002F3C3B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PAKIETY OBLICZENIOWE, POMIARY I RAPORTY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1. Pełny pakiet obliczeniowy kardiologiczny dla dorosłych.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2. Pełny pakiet obliczeniowy naczyniowy obejmujący badania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tętnic szyjnych, obwodowych i żył .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3. Pakiet aplikacyjno pomiarowy badań jamy brzusznej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4. Pakiet do oceny płuc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5. Pakiet do oceny w stanach nagłych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6.Automatyczne obrysowanie i wyznaczanie parametrów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(min. RI, PI, S/D) widma dopplerowskiego w czasie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rzeczywistym na ruchomym spektrum oraz na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zamrożonym spektrum</w:t>
            </w:r>
          </w:p>
          <w:p w:rsidR="00201B6B" w:rsidRPr="002F3C3B" w:rsidRDefault="00201B6B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7. Raporty z badań z opcją komentarzy Użytkownika</w:t>
            </w:r>
          </w:p>
        </w:tc>
      </w:tr>
      <w:tr w:rsidR="00201B6B" w:rsidTr="00667F39">
        <w:trPr>
          <w:trHeight w:val="33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1368A6">
            <w:pPr>
              <w:ind w:left="720" w:hanging="360"/>
              <w:jc w:val="center"/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54</w:t>
            </w:r>
            <w:r w:rsidR="00201B6B" w:rsidRPr="002F3C3B">
              <w:rPr>
                <w:rFonts w:ascii="Tahoma" w:eastAsia="Calibri" w:hAnsi="Tahoma" w:cs="Tahoma"/>
                <w:sz w:val="22"/>
                <w:szCs w:val="22"/>
              </w:rPr>
              <w:t>.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B6B" w:rsidRPr="002F3C3B" w:rsidRDefault="00201B6B" w:rsidP="001368A6">
            <w:pPr>
              <w:rPr>
                <w:rFonts w:ascii="Tahoma" w:eastAsia="Calibri" w:hAnsi="Tahoma" w:cs="Tahoma"/>
                <w:sz w:val="22"/>
                <w:szCs w:val="22"/>
              </w:rPr>
            </w:pPr>
            <w:r w:rsidRPr="002F3C3B">
              <w:rPr>
                <w:rFonts w:ascii="Tahoma" w:eastAsia="Calibri" w:hAnsi="Tahoma" w:cs="Tahoma"/>
                <w:sz w:val="22"/>
                <w:szCs w:val="22"/>
              </w:rPr>
              <w:t>Bezpłatny upgrade systemów</w:t>
            </w:r>
          </w:p>
        </w:tc>
      </w:tr>
    </w:tbl>
    <w:p w:rsidR="00E92080" w:rsidRDefault="00E92080" w:rsidP="006D4544">
      <w:pPr>
        <w:rPr>
          <w:rFonts w:ascii="Calibri" w:eastAsia="Calibri" w:hAnsi="Calibri" w:cs="Calibri"/>
          <w:sz w:val="20"/>
          <w:szCs w:val="20"/>
        </w:rPr>
      </w:pPr>
    </w:p>
    <w:sectPr w:rsidR="00E92080" w:rsidSect="00667F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411" w:bottom="709" w:left="1411" w:header="708" w:footer="1181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F49" w:rsidRDefault="00E95F49">
      <w:r>
        <w:separator/>
      </w:r>
    </w:p>
  </w:endnote>
  <w:endnote w:type="continuationSeparator" w:id="1">
    <w:p w:rsidR="00E95F49" w:rsidRDefault="00E9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keepLines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F49" w:rsidRDefault="00E95F49">
      <w:r>
        <w:separator/>
      </w:r>
    </w:p>
  </w:footnote>
  <w:footnote w:type="continuationSeparator" w:id="1">
    <w:p w:rsidR="00E95F49" w:rsidRDefault="00E9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9BB" w:rsidRDefault="00AD19BB" w:rsidP="00AD19BB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Calibri" w:hAnsi="Calibri"/>
        <w:sz w:val="20"/>
        <w:szCs w:val="20"/>
      </w:rPr>
      <w:t xml:space="preserve">WCPiT/EA/381-30/2018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0"/>
        <w:szCs w:val="20"/>
      </w:rPr>
      <w:t xml:space="preserve">Pakiet nr 3                                                         </w:t>
    </w:r>
  </w:p>
  <w:p w:rsidR="00E92080" w:rsidRDefault="00E920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080" w:rsidRDefault="00E920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D41AB"/>
    <w:multiLevelType w:val="multilevel"/>
    <w:tmpl w:val="147E7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080"/>
    <w:rsid w:val="00002470"/>
    <w:rsid w:val="00042D7E"/>
    <w:rsid w:val="000A736B"/>
    <w:rsid w:val="000F5EA4"/>
    <w:rsid w:val="001368A6"/>
    <w:rsid w:val="00181FD5"/>
    <w:rsid w:val="001B49DF"/>
    <w:rsid w:val="00201B6B"/>
    <w:rsid w:val="00232A56"/>
    <w:rsid w:val="00233E8B"/>
    <w:rsid w:val="00235C9B"/>
    <w:rsid w:val="00253520"/>
    <w:rsid w:val="00262637"/>
    <w:rsid w:val="002A2AB1"/>
    <w:rsid w:val="002D214E"/>
    <w:rsid w:val="002F3C3B"/>
    <w:rsid w:val="00306142"/>
    <w:rsid w:val="003215AE"/>
    <w:rsid w:val="003B2358"/>
    <w:rsid w:val="003E48F3"/>
    <w:rsid w:val="00471D9C"/>
    <w:rsid w:val="004838E3"/>
    <w:rsid w:val="004C0B1B"/>
    <w:rsid w:val="004E2057"/>
    <w:rsid w:val="00536258"/>
    <w:rsid w:val="00540C92"/>
    <w:rsid w:val="00597D89"/>
    <w:rsid w:val="005A2A03"/>
    <w:rsid w:val="005F7DAE"/>
    <w:rsid w:val="00614FA0"/>
    <w:rsid w:val="00667F39"/>
    <w:rsid w:val="00675981"/>
    <w:rsid w:val="0068392B"/>
    <w:rsid w:val="006D4544"/>
    <w:rsid w:val="006F2E9B"/>
    <w:rsid w:val="00767547"/>
    <w:rsid w:val="00792889"/>
    <w:rsid w:val="00792E47"/>
    <w:rsid w:val="007E71DE"/>
    <w:rsid w:val="00827EE9"/>
    <w:rsid w:val="00850F13"/>
    <w:rsid w:val="00871F80"/>
    <w:rsid w:val="008E677B"/>
    <w:rsid w:val="00947293"/>
    <w:rsid w:val="00964201"/>
    <w:rsid w:val="009A0E57"/>
    <w:rsid w:val="009A2622"/>
    <w:rsid w:val="009A5781"/>
    <w:rsid w:val="009B36F3"/>
    <w:rsid w:val="009E6CF6"/>
    <w:rsid w:val="00A7663B"/>
    <w:rsid w:val="00AD19BB"/>
    <w:rsid w:val="00C136A5"/>
    <w:rsid w:val="00C26E4E"/>
    <w:rsid w:val="00C36509"/>
    <w:rsid w:val="00C57B0A"/>
    <w:rsid w:val="00CA1FE4"/>
    <w:rsid w:val="00CB329B"/>
    <w:rsid w:val="00CE6CA7"/>
    <w:rsid w:val="00D90968"/>
    <w:rsid w:val="00DA1B2A"/>
    <w:rsid w:val="00DB1F30"/>
    <w:rsid w:val="00DD1DDA"/>
    <w:rsid w:val="00DE05BC"/>
    <w:rsid w:val="00DE17D2"/>
    <w:rsid w:val="00E0100E"/>
    <w:rsid w:val="00E10564"/>
    <w:rsid w:val="00E47713"/>
    <w:rsid w:val="00E507D9"/>
    <w:rsid w:val="00E8089E"/>
    <w:rsid w:val="00E92080"/>
    <w:rsid w:val="00E95F49"/>
    <w:rsid w:val="00E97380"/>
    <w:rsid w:val="00EE416C"/>
    <w:rsid w:val="00EE6DDE"/>
    <w:rsid w:val="00EE6DE5"/>
    <w:rsid w:val="00F20FC5"/>
    <w:rsid w:val="00F54101"/>
    <w:rsid w:val="00F60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Garamond" w:hAnsi="Garamond" w:cs="Garamond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7293"/>
  </w:style>
  <w:style w:type="paragraph" w:styleId="Nagwek1">
    <w:name w:val="heading 1"/>
    <w:basedOn w:val="Normalny"/>
    <w:next w:val="Normalny"/>
    <w:rsid w:val="00947293"/>
    <w:pPr>
      <w:keepNext/>
      <w:spacing w:line="360" w:lineRule="auto"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rsid w:val="00947293"/>
    <w:pPr>
      <w:keepNext/>
      <w:keepLines/>
      <w:spacing w:before="160" w:after="12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rsid w:val="009472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947293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rsid w:val="009472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9472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472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947293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9472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4729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D214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D214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74</cp:revision>
  <cp:lastPrinted>2018-08-28T13:20:00Z</cp:lastPrinted>
  <dcterms:created xsi:type="dcterms:W3CDTF">2018-08-28T11:11:00Z</dcterms:created>
  <dcterms:modified xsi:type="dcterms:W3CDTF">2018-09-06T07:41:00Z</dcterms:modified>
</cp:coreProperties>
</file>