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41" w:rsidRDefault="00DD0041" w:rsidP="00DD0041">
      <w:pPr>
        <w:pStyle w:val="Nagwek1"/>
        <w:spacing w:line="276" w:lineRule="auto"/>
        <w:rPr>
          <w:rFonts w:ascii="Verdana" w:hAnsi="Verdana" w:cs="Times New Roman"/>
          <w:b w:val="0"/>
          <w:sz w:val="20"/>
          <w:szCs w:val="20"/>
        </w:rPr>
      </w:pPr>
      <w:proofErr w:type="spellStart"/>
      <w:r>
        <w:rPr>
          <w:rFonts w:ascii="Verdana" w:hAnsi="Verdana" w:cs="Times New Roman"/>
          <w:b w:val="0"/>
          <w:sz w:val="20"/>
          <w:szCs w:val="20"/>
        </w:rPr>
        <w:t>WCPiT</w:t>
      </w:r>
      <w:proofErr w:type="spellEnd"/>
      <w:r>
        <w:rPr>
          <w:rFonts w:ascii="Verdana" w:hAnsi="Verdana" w:cs="Times New Roman"/>
          <w:b w:val="0"/>
          <w:sz w:val="20"/>
          <w:szCs w:val="20"/>
        </w:rPr>
        <w:t>/EA/381- 07 /19</w:t>
      </w:r>
      <w:r>
        <w:rPr>
          <w:rFonts w:ascii="Verdana" w:hAnsi="Verdana" w:cs="Times New Roman"/>
          <w:b w:val="0"/>
          <w:sz w:val="20"/>
          <w:szCs w:val="20"/>
        </w:rPr>
        <w:tab/>
      </w:r>
      <w:r>
        <w:rPr>
          <w:rFonts w:ascii="Verdana" w:hAnsi="Verdana" w:cs="Times New Roman"/>
          <w:b w:val="0"/>
          <w:sz w:val="20"/>
          <w:szCs w:val="20"/>
        </w:rPr>
        <w:tab/>
      </w:r>
      <w:r>
        <w:rPr>
          <w:rFonts w:ascii="Verdana" w:hAnsi="Verdana" w:cs="Times New Roman"/>
          <w:b w:val="0"/>
          <w:sz w:val="20"/>
          <w:szCs w:val="20"/>
        </w:rPr>
        <w:tab/>
      </w:r>
      <w:r>
        <w:rPr>
          <w:rFonts w:ascii="Verdana" w:hAnsi="Verdana" w:cs="Times New Roman"/>
          <w:b w:val="0"/>
          <w:sz w:val="20"/>
          <w:szCs w:val="20"/>
        </w:rPr>
        <w:tab/>
      </w:r>
      <w:r>
        <w:rPr>
          <w:rFonts w:ascii="Verdana" w:hAnsi="Verdana" w:cs="Times New Roman"/>
          <w:b w:val="0"/>
          <w:sz w:val="20"/>
          <w:szCs w:val="20"/>
        </w:rPr>
        <w:tab/>
      </w:r>
      <w:r>
        <w:rPr>
          <w:rFonts w:ascii="Verdana" w:hAnsi="Verdana" w:cs="Times New Roman"/>
          <w:b w:val="0"/>
          <w:sz w:val="20"/>
          <w:szCs w:val="20"/>
        </w:rPr>
        <w:tab/>
        <w:t>Poznań, dnia 28.03.2019r.</w:t>
      </w:r>
    </w:p>
    <w:p w:rsidR="00DD0041" w:rsidRDefault="00DD0041" w:rsidP="00DD0041">
      <w:pPr>
        <w:spacing w:after="0" w:line="240" w:lineRule="auto"/>
        <w:rPr>
          <w:lang w:eastAsia="pl-PL"/>
        </w:rPr>
      </w:pPr>
    </w:p>
    <w:p w:rsidR="00DD0041" w:rsidRDefault="00DD0041" w:rsidP="00DD0041">
      <w:pPr>
        <w:spacing w:after="0" w:line="240" w:lineRule="auto"/>
        <w:ind w:left="360"/>
        <w:jc w:val="right"/>
        <w:rPr>
          <w:rFonts w:ascii="Verdana" w:hAnsi="Verdana"/>
          <w:sz w:val="20"/>
          <w:szCs w:val="20"/>
        </w:rPr>
      </w:pPr>
      <w:r>
        <w:rPr>
          <w:rFonts w:ascii="Verdana" w:hAnsi="Verdana"/>
          <w:sz w:val="20"/>
          <w:szCs w:val="20"/>
        </w:rPr>
        <w:t>Uczestnicy postępowania</w:t>
      </w:r>
    </w:p>
    <w:p w:rsidR="00DD0041" w:rsidRDefault="00DD0041" w:rsidP="00DD0041">
      <w:pPr>
        <w:spacing w:after="0" w:line="240" w:lineRule="auto"/>
        <w:jc w:val="center"/>
        <w:rPr>
          <w:rFonts w:ascii="Verdana" w:hAnsi="Verdana"/>
          <w:b/>
          <w:sz w:val="20"/>
          <w:szCs w:val="20"/>
        </w:rPr>
      </w:pPr>
    </w:p>
    <w:p w:rsidR="00DD0041" w:rsidRDefault="00DD0041" w:rsidP="00DD0041">
      <w:pPr>
        <w:spacing w:after="0" w:line="240" w:lineRule="auto"/>
        <w:jc w:val="center"/>
        <w:rPr>
          <w:rFonts w:ascii="Verdana" w:hAnsi="Verdana"/>
          <w:sz w:val="20"/>
          <w:szCs w:val="20"/>
        </w:rPr>
      </w:pPr>
      <w:r>
        <w:rPr>
          <w:rFonts w:ascii="Verdana" w:hAnsi="Verdana"/>
          <w:b/>
          <w:sz w:val="20"/>
          <w:szCs w:val="20"/>
        </w:rPr>
        <w:t xml:space="preserve">Dotyczy: przetargu nieograniczonego </w:t>
      </w:r>
      <w:r>
        <w:rPr>
          <w:rFonts w:ascii="Verdana" w:eastAsia="SimSun" w:hAnsi="Verdana" w:cs="Calibri"/>
          <w:b/>
          <w:bCs/>
          <w:sz w:val="20"/>
          <w:szCs w:val="20"/>
        </w:rPr>
        <w:t xml:space="preserve">na </w:t>
      </w:r>
      <w:r>
        <w:rPr>
          <w:rFonts w:ascii="Verdana" w:hAnsi="Verdana" w:cs="Arial"/>
          <w:b/>
          <w:sz w:val="20"/>
          <w:szCs w:val="20"/>
        </w:rPr>
        <w:t>dostawę</w:t>
      </w:r>
      <w:r>
        <w:rPr>
          <w:rFonts w:ascii="Verdana" w:hAnsi="Verdana"/>
          <w:b/>
          <w:sz w:val="20"/>
          <w:szCs w:val="20"/>
        </w:rPr>
        <w:t xml:space="preserve"> antybiotyków, leków ogólnych, cytostatycznych, przeciwgruźliczych, leków </w:t>
      </w:r>
      <w:proofErr w:type="spellStart"/>
      <w:r>
        <w:rPr>
          <w:rFonts w:ascii="Verdana" w:hAnsi="Verdana"/>
          <w:b/>
          <w:sz w:val="20"/>
          <w:szCs w:val="20"/>
        </w:rPr>
        <w:t>immunostymulujących</w:t>
      </w:r>
      <w:proofErr w:type="spellEnd"/>
      <w:r>
        <w:rPr>
          <w:rFonts w:ascii="Verdana" w:hAnsi="Verdana"/>
          <w:b/>
          <w:sz w:val="20"/>
          <w:szCs w:val="20"/>
        </w:rPr>
        <w:t xml:space="preserve">, leków odurzających, psychotropowych, leków z importu docelowego, płynów do wlewu dożylnego, płynów do irygacji, płynów do </w:t>
      </w:r>
      <w:proofErr w:type="spellStart"/>
      <w:r>
        <w:rPr>
          <w:rFonts w:ascii="Verdana" w:hAnsi="Verdana"/>
          <w:b/>
          <w:sz w:val="20"/>
          <w:szCs w:val="20"/>
        </w:rPr>
        <w:t>hemofiltracji</w:t>
      </w:r>
      <w:proofErr w:type="spellEnd"/>
      <w:r>
        <w:rPr>
          <w:rFonts w:ascii="Verdana" w:hAnsi="Verdana"/>
          <w:b/>
          <w:sz w:val="20"/>
          <w:szCs w:val="20"/>
        </w:rPr>
        <w:t>, surowic i szczepionek, środków kontrastowych, preparatów do żywienia pozajelitowego, dojelitowego i doustnego, zestawów do podaży żywienia dojelitowego</w:t>
      </w:r>
    </w:p>
    <w:p w:rsidR="008C1186" w:rsidRPr="00E007B1" w:rsidRDefault="008C1186" w:rsidP="00ED7FB7">
      <w:pPr>
        <w:spacing w:after="0" w:line="240" w:lineRule="auto"/>
        <w:jc w:val="center"/>
        <w:rPr>
          <w:rFonts w:ascii="Verdana" w:hAnsi="Verdana"/>
          <w:sz w:val="20"/>
          <w:szCs w:val="20"/>
        </w:rPr>
      </w:pPr>
    </w:p>
    <w:p w:rsidR="00BA794F" w:rsidRPr="00E007B1" w:rsidRDefault="00BA794F" w:rsidP="00ED7FB7">
      <w:pPr>
        <w:spacing w:after="0" w:line="240" w:lineRule="auto"/>
        <w:jc w:val="both"/>
        <w:rPr>
          <w:rFonts w:ascii="Verdana" w:hAnsi="Verdana"/>
          <w:sz w:val="20"/>
          <w:szCs w:val="20"/>
        </w:rPr>
      </w:pPr>
      <w:r w:rsidRPr="00E007B1">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ED7FB7" w:rsidRDefault="00ED7FB7" w:rsidP="00ED7FB7">
      <w:pPr>
        <w:spacing w:after="0" w:line="240" w:lineRule="auto"/>
        <w:rPr>
          <w:rFonts w:ascii="Verdana" w:hAnsi="Verdana"/>
          <w:b/>
          <w:sz w:val="20"/>
          <w:szCs w:val="20"/>
          <w:lang w:eastAsia="pl-PL"/>
        </w:rPr>
      </w:pPr>
    </w:p>
    <w:p w:rsidR="00BA794F" w:rsidRPr="00E007B1" w:rsidRDefault="00BA794F" w:rsidP="00ED7FB7">
      <w:pPr>
        <w:spacing w:after="0" w:line="240" w:lineRule="auto"/>
        <w:rPr>
          <w:rFonts w:ascii="Verdana" w:hAnsi="Verdana"/>
          <w:b/>
          <w:sz w:val="20"/>
          <w:szCs w:val="20"/>
          <w:lang w:eastAsia="pl-PL"/>
        </w:rPr>
      </w:pPr>
      <w:r w:rsidRPr="00E007B1">
        <w:rPr>
          <w:rFonts w:ascii="Verdana" w:hAnsi="Verdana"/>
          <w:b/>
          <w:sz w:val="20"/>
          <w:szCs w:val="20"/>
          <w:lang w:eastAsia="pl-PL"/>
        </w:rPr>
        <w:t>Pytania 1:</w:t>
      </w:r>
    </w:p>
    <w:p w:rsidR="0057267B" w:rsidRDefault="0057267B" w:rsidP="00ED7FB7">
      <w:pPr>
        <w:numPr>
          <w:ilvl w:val="0"/>
          <w:numId w:val="5"/>
        </w:numPr>
        <w:autoSpaceDE w:val="0"/>
        <w:autoSpaceDN w:val="0"/>
        <w:adjustRightInd w:val="0"/>
        <w:spacing w:after="0" w:line="240" w:lineRule="auto"/>
        <w:rPr>
          <w:rFonts w:ascii="Verdana" w:hAnsi="Verdana" w:cs="Tahoma"/>
          <w:color w:val="000000"/>
          <w:sz w:val="18"/>
          <w:szCs w:val="20"/>
        </w:rPr>
      </w:pPr>
      <w:r w:rsidRPr="00BE0603">
        <w:rPr>
          <w:rFonts w:ascii="Verdana" w:hAnsi="Verdana" w:cs="Tahoma"/>
          <w:color w:val="000000"/>
          <w:sz w:val="18"/>
          <w:szCs w:val="20"/>
        </w:rPr>
        <w:t xml:space="preserve">Czy Zamawiający wymaga </w:t>
      </w:r>
      <w:r>
        <w:rPr>
          <w:rFonts w:ascii="Verdana" w:hAnsi="Verdana" w:cs="Tahoma"/>
          <w:color w:val="000000"/>
          <w:sz w:val="18"/>
          <w:szCs w:val="20"/>
        </w:rPr>
        <w:t xml:space="preserve">w pakiecie 1 pozycji 15 produkt leczniczy </w:t>
      </w:r>
      <w:proofErr w:type="spellStart"/>
      <w:r>
        <w:rPr>
          <w:rFonts w:ascii="Verdana" w:hAnsi="Verdana" w:cs="Tahoma"/>
          <w:color w:val="000000"/>
          <w:sz w:val="18"/>
          <w:szCs w:val="20"/>
        </w:rPr>
        <w:t>Ciprofloxacinum</w:t>
      </w:r>
      <w:proofErr w:type="spellEnd"/>
      <w:r>
        <w:rPr>
          <w:rFonts w:ascii="Verdana" w:hAnsi="Verdana" w:cs="Tahoma"/>
          <w:color w:val="000000"/>
          <w:sz w:val="18"/>
          <w:szCs w:val="20"/>
        </w:rPr>
        <w:t xml:space="preserve"> w </w:t>
      </w:r>
      <w:r w:rsidRPr="00BE0603">
        <w:rPr>
          <w:rFonts w:ascii="Verdana" w:hAnsi="Verdana" w:cs="Tahoma"/>
          <w:color w:val="000000"/>
          <w:sz w:val="18"/>
          <w:szCs w:val="20"/>
        </w:rPr>
        <w:t>opakowani</w:t>
      </w:r>
      <w:r>
        <w:rPr>
          <w:rFonts w:ascii="Verdana" w:hAnsi="Verdana" w:cs="Tahoma"/>
          <w:color w:val="000000"/>
          <w:sz w:val="18"/>
          <w:szCs w:val="20"/>
        </w:rPr>
        <w:t>u</w:t>
      </w:r>
      <w:r w:rsidRPr="00BE0603">
        <w:rPr>
          <w:rFonts w:ascii="Verdana" w:hAnsi="Verdana" w:cs="Tahoma"/>
          <w:color w:val="000000"/>
          <w:sz w:val="18"/>
          <w:szCs w:val="20"/>
        </w:rPr>
        <w:t xml:space="preserve"> stojąc</w:t>
      </w:r>
      <w:r>
        <w:rPr>
          <w:rFonts w:ascii="Verdana" w:hAnsi="Verdana" w:cs="Tahoma"/>
          <w:color w:val="000000"/>
          <w:sz w:val="18"/>
          <w:szCs w:val="20"/>
        </w:rPr>
        <w:t xml:space="preserve">ym typu </w:t>
      </w:r>
      <w:proofErr w:type="spellStart"/>
      <w:r>
        <w:rPr>
          <w:rFonts w:ascii="Verdana" w:hAnsi="Verdana" w:cs="Tahoma"/>
          <w:color w:val="000000"/>
          <w:sz w:val="18"/>
          <w:szCs w:val="20"/>
        </w:rPr>
        <w:t>KabiPac</w:t>
      </w:r>
      <w:proofErr w:type="spellEnd"/>
      <w:r w:rsidRPr="00BE0603">
        <w:rPr>
          <w:rFonts w:ascii="Verdana" w:hAnsi="Verdana" w:cs="Tahoma"/>
          <w:color w:val="000000"/>
          <w:sz w:val="18"/>
          <w:szCs w:val="20"/>
        </w:rPr>
        <w:t xml:space="preserve"> z polietylenu z dwoma niezależnymi  portami zapewniającymi szczelne połączenie ze wszystkim</w:t>
      </w:r>
      <w:r>
        <w:rPr>
          <w:rFonts w:ascii="Verdana" w:hAnsi="Verdana" w:cs="Tahoma"/>
          <w:color w:val="000000"/>
          <w:sz w:val="18"/>
          <w:szCs w:val="20"/>
        </w:rPr>
        <w:t>i rodzajami zestawów do infuzji</w:t>
      </w:r>
      <w:r w:rsidRPr="00BE0603">
        <w:rPr>
          <w:rFonts w:ascii="Verdana" w:hAnsi="Verdana" w:cs="Tahoma"/>
          <w:color w:val="000000"/>
          <w:sz w:val="18"/>
          <w:szCs w:val="20"/>
        </w:rPr>
        <w:t>?</w:t>
      </w:r>
    </w:p>
    <w:p w:rsidR="0057267B" w:rsidRPr="00DF0675"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DF0675">
        <w:rPr>
          <w:rFonts w:ascii="Verdana" w:hAnsi="Verdana"/>
          <w:sz w:val="18"/>
          <w:szCs w:val="20"/>
        </w:rPr>
        <w:t xml:space="preserve">Czy Zamawiający </w:t>
      </w:r>
      <w:r>
        <w:rPr>
          <w:rFonts w:ascii="Verdana" w:hAnsi="Verdana"/>
          <w:sz w:val="18"/>
          <w:szCs w:val="20"/>
        </w:rPr>
        <w:t xml:space="preserve">w pakiecie 1 pozycji 30 dopuści produkt leczniczy </w:t>
      </w:r>
      <w:proofErr w:type="spellStart"/>
      <w:r>
        <w:rPr>
          <w:rFonts w:ascii="Verdana" w:hAnsi="Verdana"/>
          <w:sz w:val="18"/>
          <w:szCs w:val="20"/>
        </w:rPr>
        <w:t>Levofloxacin</w:t>
      </w:r>
      <w:proofErr w:type="spellEnd"/>
      <w:r>
        <w:rPr>
          <w:rFonts w:ascii="Verdana" w:hAnsi="Verdana"/>
          <w:sz w:val="18"/>
          <w:szCs w:val="20"/>
        </w:rPr>
        <w:t xml:space="preserve"> 100 ml w opakowaniu stojącym typu </w:t>
      </w:r>
      <w:proofErr w:type="spellStart"/>
      <w:r>
        <w:rPr>
          <w:rFonts w:ascii="Verdana" w:hAnsi="Verdana"/>
          <w:sz w:val="18"/>
          <w:szCs w:val="20"/>
        </w:rPr>
        <w:t>KabiPac</w:t>
      </w:r>
      <w:proofErr w:type="spellEnd"/>
      <w:r>
        <w:rPr>
          <w:rFonts w:ascii="Verdana" w:hAnsi="Verdana"/>
          <w:sz w:val="18"/>
          <w:szCs w:val="20"/>
        </w:rPr>
        <w:t xml:space="preserve"> z dwoma portami różnej wielkości (x 10 sztuk)?</w:t>
      </w:r>
    </w:p>
    <w:p w:rsidR="0057267B" w:rsidRPr="00BE0603"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DF0675">
        <w:rPr>
          <w:rFonts w:ascii="Verdana" w:hAnsi="Verdana"/>
          <w:sz w:val="18"/>
          <w:szCs w:val="20"/>
        </w:rPr>
        <w:t xml:space="preserve">Czy Zamawiający </w:t>
      </w:r>
      <w:r>
        <w:rPr>
          <w:rFonts w:ascii="Verdana" w:hAnsi="Verdana"/>
          <w:sz w:val="18"/>
          <w:szCs w:val="20"/>
        </w:rPr>
        <w:t xml:space="preserve">w pakiecie 2 pozycjach 1, 2 dopuści produkt leczniczy </w:t>
      </w:r>
      <w:proofErr w:type="spellStart"/>
      <w:r>
        <w:rPr>
          <w:rFonts w:ascii="Verdana" w:hAnsi="Verdana"/>
          <w:sz w:val="18"/>
          <w:szCs w:val="20"/>
        </w:rPr>
        <w:t>Levofloxacin</w:t>
      </w:r>
      <w:proofErr w:type="spellEnd"/>
      <w:r>
        <w:rPr>
          <w:rFonts w:ascii="Verdana" w:hAnsi="Verdana"/>
          <w:sz w:val="18"/>
          <w:szCs w:val="20"/>
        </w:rPr>
        <w:t xml:space="preserve"> 50 i 100 ml w opakowaniu stojącym typu </w:t>
      </w:r>
      <w:proofErr w:type="spellStart"/>
      <w:r>
        <w:rPr>
          <w:rFonts w:ascii="Verdana" w:hAnsi="Verdana"/>
          <w:sz w:val="18"/>
          <w:szCs w:val="20"/>
        </w:rPr>
        <w:t>KabiPac</w:t>
      </w:r>
      <w:proofErr w:type="spellEnd"/>
      <w:r>
        <w:rPr>
          <w:rFonts w:ascii="Verdana" w:hAnsi="Verdana"/>
          <w:sz w:val="18"/>
          <w:szCs w:val="20"/>
        </w:rPr>
        <w:t xml:space="preserve"> z dwoma portami różnej wielkości (x 10 sztuk)?</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BE0603">
        <w:rPr>
          <w:rFonts w:ascii="Verdana" w:hAnsi="Verdana" w:cs="Tahoma"/>
          <w:color w:val="000000"/>
          <w:sz w:val="18"/>
          <w:szCs w:val="20"/>
        </w:rPr>
        <w:t xml:space="preserve">Czy Zamawiający dopuści </w:t>
      </w:r>
      <w:r>
        <w:rPr>
          <w:rFonts w:ascii="Verdana" w:hAnsi="Verdana" w:cs="Tahoma"/>
          <w:color w:val="000000"/>
          <w:sz w:val="18"/>
          <w:szCs w:val="20"/>
        </w:rPr>
        <w:t xml:space="preserve">w pakiecie 9 pozycji 1 </w:t>
      </w:r>
      <w:r w:rsidRPr="00BE0603">
        <w:rPr>
          <w:rFonts w:ascii="Verdana" w:hAnsi="Verdana" w:cs="Tahoma"/>
          <w:color w:val="000000"/>
          <w:sz w:val="18"/>
          <w:szCs w:val="20"/>
        </w:rPr>
        <w:t xml:space="preserve">opakowanie </w:t>
      </w:r>
      <w:r>
        <w:rPr>
          <w:rFonts w:ascii="Verdana" w:hAnsi="Verdana" w:cs="Tahoma"/>
          <w:color w:val="000000"/>
          <w:sz w:val="18"/>
          <w:szCs w:val="20"/>
        </w:rPr>
        <w:t xml:space="preserve">stojące typu </w:t>
      </w:r>
      <w:proofErr w:type="spellStart"/>
      <w:r>
        <w:rPr>
          <w:rFonts w:ascii="Verdana" w:hAnsi="Verdana" w:cs="Tahoma"/>
          <w:color w:val="000000"/>
          <w:sz w:val="18"/>
          <w:szCs w:val="20"/>
        </w:rPr>
        <w:t>KabiPac</w:t>
      </w:r>
      <w:proofErr w:type="spellEnd"/>
      <w:r>
        <w:rPr>
          <w:rFonts w:ascii="Verdana" w:hAnsi="Verdana" w:cs="Tahoma"/>
          <w:color w:val="000000"/>
          <w:sz w:val="18"/>
          <w:szCs w:val="20"/>
        </w:rPr>
        <w:t xml:space="preserve"> </w:t>
      </w:r>
      <w:r w:rsidRPr="00BE0603">
        <w:rPr>
          <w:rFonts w:ascii="Verdana" w:hAnsi="Verdana" w:cs="Tahoma"/>
          <w:color w:val="000000"/>
          <w:sz w:val="18"/>
          <w:szCs w:val="20"/>
        </w:rPr>
        <w:t>z dwoma szczelnymi membranami, które  zapewni trwałe połączenie z zestawem do przetoczeń oraz posiada konstrukcję zgodną z najnowszymi standardami Farmakopei Polskiej?</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Pr>
          <w:rFonts w:ascii="Verdana" w:hAnsi="Verdana" w:cs="Tahoma"/>
          <w:color w:val="000000"/>
          <w:sz w:val="18"/>
          <w:szCs w:val="20"/>
        </w:rPr>
        <w:t xml:space="preserve">Czy Zamawiający dopuści w pakiecie 16 pozycji 1 produkt leczniczy </w:t>
      </w:r>
      <w:proofErr w:type="spellStart"/>
      <w:r>
        <w:rPr>
          <w:rFonts w:ascii="Verdana" w:hAnsi="Verdana" w:cs="Tahoma"/>
          <w:color w:val="000000"/>
          <w:sz w:val="18"/>
          <w:szCs w:val="20"/>
        </w:rPr>
        <w:t>Ceftazidim</w:t>
      </w:r>
      <w:proofErr w:type="spellEnd"/>
      <w:r>
        <w:rPr>
          <w:rFonts w:ascii="Verdana" w:hAnsi="Verdana" w:cs="Tahoma"/>
          <w:color w:val="000000"/>
          <w:sz w:val="18"/>
          <w:szCs w:val="20"/>
        </w:rPr>
        <w:t xml:space="preserve"> 2g w opakowaniu typu 10 butelek?</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BE0603">
        <w:rPr>
          <w:rFonts w:ascii="Verdana" w:hAnsi="Verdana" w:cs="Tahoma"/>
          <w:color w:val="000000"/>
          <w:sz w:val="18"/>
          <w:szCs w:val="20"/>
        </w:rPr>
        <w:t xml:space="preserve">Czy zamawiający wymaga </w:t>
      </w:r>
      <w:r>
        <w:rPr>
          <w:rFonts w:ascii="Verdana" w:hAnsi="Verdana" w:cs="Tahoma"/>
          <w:color w:val="000000"/>
          <w:sz w:val="18"/>
          <w:szCs w:val="20"/>
        </w:rPr>
        <w:t xml:space="preserve">w pakiecie 21 pozycji 1 </w:t>
      </w:r>
      <w:r w:rsidRPr="00BE0603">
        <w:rPr>
          <w:rFonts w:ascii="Verdana" w:hAnsi="Verdana" w:cs="Tahoma"/>
          <w:color w:val="000000"/>
          <w:sz w:val="18"/>
          <w:szCs w:val="20"/>
        </w:rPr>
        <w:t xml:space="preserve">opakowania </w:t>
      </w:r>
      <w:r>
        <w:rPr>
          <w:rFonts w:ascii="Verdana" w:hAnsi="Verdana" w:cs="Tahoma"/>
          <w:color w:val="000000"/>
          <w:sz w:val="18"/>
          <w:szCs w:val="20"/>
        </w:rPr>
        <w:t xml:space="preserve">typu </w:t>
      </w:r>
      <w:proofErr w:type="spellStart"/>
      <w:r>
        <w:rPr>
          <w:rFonts w:ascii="Verdana" w:hAnsi="Verdana" w:cs="Tahoma"/>
          <w:color w:val="000000"/>
          <w:sz w:val="18"/>
          <w:szCs w:val="20"/>
        </w:rPr>
        <w:t>KabiPac</w:t>
      </w:r>
      <w:proofErr w:type="spellEnd"/>
      <w:r>
        <w:rPr>
          <w:rFonts w:ascii="Verdana" w:hAnsi="Verdana" w:cs="Tahoma"/>
          <w:color w:val="000000"/>
          <w:sz w:val="18"/>
          <w:szCs w:val="20"/>
        </w:rPr>
        <w:t xml:space="preserve"> </w:t>
      </w:r>
      <w:r w:rsidRPr="00BE0603">
        <w:rPr>
          <w:rFonts w:ascii="Verdana" w:hAnsi="Verdana" w:cs="Tahoma"/>
          <w:color w:val="000000"/>
          <w:sz w:val="18"/>
          <w:szCs w:val="20"/>
        </w:rPr>
        <w:t>z dwoma szczelnymi niezależnymi portami, które  zapewniają trwałe połą</w:t>
      </w:r>
      <w:r>
        <w:rPr>
          <w:rFonts w:ascii="Verdana" w:hAnsi="Verdana" w:cs="Tahoma"/>
          <w:color w:val="000000"/>
          <w:sz w:val="18"/>
          <w:szCs w:val="20"/>
        </w:rPr>
        <w:t>czenie z zestawem do przetoczeń</w:t>
      </w:r>
      <w:r w:rsidRPr="00BE0603">
        <w:rPr>
          <w:rFonts w:ascii="Verdana" w:hAnsi="Verdana" w:cs="Tahoma"/>
          <w:color w:val="000000"/>
          <w:sz w:val="18"/>
          <w:szCs w:val="20"/>
        </w:rPr>
        <w:t>?</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Pr>
          <w:rFonts w:ascii="Verdana" w:hAnsi="Verdana" w:cs="Tahoma"/>
          <w:color w:val="000000"/>
          <w:sz w:val="18"/>
          <w:szCs w:val="20"/>
        </w:rPr>
        <w:t xml:space="preserve">Czy Zamawiający dopuści w pakiecie 39 pozycji 1 </w:t>
      </w:r>
      <w:proofErr w:type="spellStart"/>
      <w:r w:rsidRPr="00767A98">
        <w:rPr>
          <w:rFonts w:ascii="Verdana" w:hAnsi="Verdana" w:cs="Tahoma"/>
          <w:color w:val="000000"/>
          <w:sz w:val="18"/>
          <w:szCs w:val="20"/>
        </w:rPr>
        <w:t>1</w:t>
      </w:r>
      <w:proofErr w:type="spellEnd"/>
      <w:r w:rsidRPr="00767A98">
        <w:rPr>
          <w:rFonts w:ascii="Verdana" w:hAnsi="Verdana" w:cs="Tahoma"/>
          <w:color w:val="000000"/>
          <w:sz w:val="18"/>
          <w:szCs w:val="20"/>
        </w:rPr>
        <w:t xml:space="preserve"> </w:t>
      </w:r>
      <w:r>
        <w:rPr>
          <w:rFonts w:ascii="Verdana" w:hAnsi="Verdana" w:cs="Tahoma"/>
          <w:color w:val="000000"/>
          <w:sz w:val="18"/>
          <w:szCs w:val="20"/>
        </w:rPr>
        <w:t xml:space="preserve">produkt leczniczy </w:t>
      </w:r>
      <w:proofErr w:type="spellStart"/>
      <w:r w:rsidRPr="00767A98">
        <w:rPr>
          <w:rFonts w:ascii="Verdana" w:hAnsi="Verdana" w:cs="Tahoma"/>
          <w:color w:val="000000"/>
          <w:sz w:val="18"/>
          <w:szCs w:val="20"/>
        </w:rPr>
        <w:t>Pemetrexed</w:t>
      </w:r>
      <w:proofErr w:type="spellEnd"/>
      <w:r>
        <w:rPr>
          <w:rFonts w:ascii="Verdana" w:hAnsi="Verdana" w:cs="Tahoma"/>
          <w:color w:val="000000"/>
          <w:sz w:val="18"/>
          <w:szCs w:val="20"/>
        </w:rPr>
        <w:t xml:space="preserve"> w dawkach</w:t>
      </w:r>
      <w:r w:rsidRPr="00767A98">
        <w:rPr>
          <w:rFonts w:ascii="Verdana" w:hAnsi="Verdana" w:cs="Tahoma"/>
          <w:color w:val="000000"/>
          <w:sz w:val="18"/>
          <w:szCs w:val="20"/>
        </w:rPr>
        <w:t xml:space="preserve"> 100 i 500 mg bez 1000 mg</w:t>
      </w:r>
      <w:r>
        <w:rPr>
          <w:rFonts w:ascii="Verdana" w:hAnsi="Verdana" w:cs="Tahoma"/>
          <w:color w:val="000000"/>
          <w:sz w:val="18"/>
          <w:szCs w:val="20"/>
        </w:rPr>
        <w:t>?</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Pr>
          <w:rFonts w:ascii="Verdana" w:hAnsi="Verdana" w:cs="Tahoma"/>
          <w:color w:val="000000"/>
          <w:sz w:val="18"/>
          <w:szCs w:val="20"/>
        </w:rPr>
        <w:t xml:space="preserve">Czy Zamawiający dopuści w pakiecie 107 pozycjach 2 i 6 płyny infuzyjne w opakowaniu równoważnym z polipropylenu typu </w:t>
      </w:r>
      <w:proofErr w:type="spellStart"/>
      <w:r>
        <w:rPr>
          <w:rFonts w:ascii="Verdana" w:hAnsi="Verdana" w:cs="Tahoma"/>
          <w:color w:val="000000"/>
          <w:sz w:val="18"/>
          <w:szCs w:val="20"/>
        </w:rPr>
        <w:t>KabiClear</w:t>
      </w:r>
      <w:proofErr w:type="spellEnd"/>
      <w:r>
        <w:rPr>
          <w:rFonts w:ascii="Verdana" w:hAnsi="Verdana" w:cs="Tahoma"/>
          <w:color w:val="000000"/>
          <w:sz w:val="18"/>
          <w:szCs w:val="20"/>
        </w:rPr>
        <w:t>?</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2F7767">
        <w:rPr>
          <w:rFonts w:ascii="Verdana" w:hAnsi="Verdana" w:cs="Tahoma"/>
          <w:color w:val="000000"/>
          <w:sz w:val="18"/>
          <w:szCs w:val="20"/>
        </w:rPr>
        <w:t>Czy z uwagi na brak na runku prep</w:t>
      </w:r>
      <w:r>
        <w:rPr>
          <w:rFonts w:ascii="Verdana" w:hAnsi="Verdana" w:cs="Tahoma"/>
          <w:color w:val="000000"/>
          <w:sz w:val="18"/>
          <w:szCs w:val="20"/>
        </w:rPr>
        <w:t>aratu glukozy 5% po 100 ml w opakowaniu typu worek z dwoma portami nie</w:t>
      </w:r>
      <w:r w:rsidRPr="002F7767">
        <w:rPr>
          <w:rFonts w:ascii="Verdana" w:hAnsi="Verdana" w:cs="Tahoma"/>
          <w:color w:val="000000"/>
          <w:sz w:val="18"/>
          <w:szCs w:val="20"/>
        </w:rPr>
        <w:t>wymagającymi dez</w:t>
      </w:r>
      <w:r>
        <w:rPr>
          <w:rFonts w:ascii="Verdana" w:hAnsi="Verdana" w:cs="Tahoma"/>
          <w:color w:val="000000"/>
          <w:sz w:val="18"/>
          <w:szCs w:val="20"/>
        </w:rPr>
        <w:t>ynfekcji czy Zamawiający miał na myś</w:t>
      </w:r>
      <w:r w:rsidRPr="002F7767">
        <w:rPr>
          <w:rFonts w:ascii="Verdana" w:hAnsi="Verdana" w:cs="Tahoma"/>
          <w:color w:val="000000"/>
          <w:sz w:val="18"/>
          <w:szCs w:val="20"/>
        </w:rPr>
        <w:t xml:space="preserve">li </w:t>
      </w:r>
      <w:r>
        <w:rPr>
          <w:rFonts w:ascii="Verdana" w:hAnsi="Verdana" w:cs="Tahoma"/>
          <w:color w:val="000000"/>
          <w:sz w:val="18"/>
          <w:szCs w:val="20"/>
        </w:rPr>
        <w:t xml:space="preserve">w pakiecie 108 pozycji 1 </w:t>
      </w:r>
      <w:r w:rsidRPr="002F7767">
        <w:rPr>
          <w:rFonts w:ascii="Verdana" w:hAnsi="Verdana" w:cs="Tahoma"/>
          <w:color w:val="000000"/>
          <w:sz w:val="18"/>
          <w:szCs w:val="20"/>
        </w:rPr>
        <w:t>glukozę 5% po 250 ml w opakowaniu typu wore</w:t>
      </w:r>
      <w:r>
        <w:rPr>
          <w:rFonts w:ascii="Verdana" w:hAnsi="Verdana" w:cs="Tahoma"/>
          <w:color w:val="000000"/>
          <w:sz w:val="18"/>
          <w:szCs w:val="20"/>
        </w:rPr>
        <w:t>k z dwoma jałowymi portami, nie</w:t>
      </w:r>
      <w:r w:rsidRPr="002F7767">
        <w:rPr>
          <w:rFonts w:ascii="Verdana" w:hAnsi="Verdana" w:cs="Tahoma"/>
          <w:color w:val="000000"/>
          <w:sz w:val="18"/>
          <w:szCs w:val="20"/>
        </w:rPr>
        <w:t>wymagającymi dezy</w:t>
      </w:r>
      <w:r>
        <w:rPr>
          <w:rFonts w:ascii="Verdana" w:hAnsi="Verdana" w:cs="Tahoma"/>
          <w:color w:val="000000"/>
          <w:sz w:val="18"/>
          <w:szCs w:val="20"/>
        </w:rPr>
        <w:t>nfekcji przed pierwszym użyciem</w:t>
      </w:r>
      <w:r w:rsidRPr="002F7767">
        <w:rPr>
          <w:rFonts w:ascii="Verdana" w:hAnsi="Verdana" w:cs="Tahoma"/>
          <w:color w:val="000000"/>
          <w:sz w:val="18"/>
          <w:szCs w:val="20"/>
        </w:rPr>
        <w:t>?</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2F7767">
        <w:rPr>
          <w:rFonts w:ascii="Verdana" w:hAnsi="Verdana" w:cs="Tahoma"/>
          <w:color w:val="000000"/>
          <w:sz w:val="18"/>
          <w:szCs w:val="20"/>
        </w:rPr>
        <w:t xml:space="preserve">Czy Zamawiający </w:t>
      </w:r>
      <w:r>
        <w:rPr>
          <w:rFonts w:ascii="Verdana" w:hAnsi="Verdana" w:cs="Tahoma"/>
          <w:color w:val="000000"/>
          <w:sz w:val="18"/>
          <w:szCs w:val="20"/>
        </w:rPr>
        <w:t xml:space="preserve">wymaga </w:t>
      </w:r>
      <w:r w:rsidRPr="002F7767">
        <w:rPr>
          <w:rFonts w:ascii="Verdana" w:hAnsi="Verdana" w:cs="Tahoma"/>
          <w:color w:val="000000"/>
          <w:sz w:val="18"/>
          <w:szCs w:val="20"/>
        </w:rPr>
        <w:t xml:space="preserve">w pakiecie </w:t>
      </w:r>
      <w:r>
        <w:rPr>
          <w:rFonts w:ascii="Verdana" w:hAnsi="Verdana" w:cs="Tahoma"/>
          <w:color w:val="000000"/>
          <w:sz w:val="18"/>
          <w:szCs w:val="20"/>
        </w:rPr>
        <w:t>125</w:t>
      </w:r>
      <w:r w:rsidRPr="002F7767">
        <w:rPr>
          <w:rFonts w:ascii="Verdana" w:hAnsi="Verdana" w:cs="Tahoma"/>
          <w:color w:val="000000"/>
          <w:sz w:val="18"/>
          <w:szCs w:val="20"/>
        </w:rPr>
        <w:t xml:space="preserve"> pozycja </w:t>
      </w:r>
      <w:r>
        <w:rPr>
          <w:rFonts w:ascii="Verdana" w:hAnsi="Verdana" w:cs="Tahoma"/>
          <w:color w:val="000000"/>
          <w:sz w:val="18"/>
          <w:szCs w:val="20"/>
        </w:rPr>
        <w:t>1</w:t>
      </w:r>
      <w:r w:rsidRPr="002F7767">
        <w:rPr>
          <w:rFonts w:ascii="Verdana" w:hAnsi="Verdana" w:cs="Tahoma"/>
          <w:color w:val="000000"/>
          <w:sz w:val="18"/>
          <w:szCs w:val="20"/>
        </w:rPr>
        <w:t xml:space="preserve"> produktu leczniczego </w:t>
      </w:r>
      <w:proofErr w:type="spellStart"/>
      <w:r w:rsidRPr="002F7767">
        <w:rPr>
          <w:rFonts w:ascii="Verdana" w:hAnsi="Verdana" w:cs="Tahoma"/>
          <w:color w:val="000000"/>
          <w:sz w:val="18"/>
          <w:szCs w:val="20"/>
        </w:rPr>
        <w:t>Addamel</w:t>
      </w:r>
      <w:proofErr w:type="spellEnd"/>
      <w:r w:rsidRPr="002F7767">
        <w:rPr>
          <w:rFonts w:ascii="Verdana" w:hAnsi="Verdana" w:cs="Tahoma"/>
          <w:color w:val="000000"/>
          <w:sz w:val="18"/>
          <w:szCs w:val="20"/>
        </w:rPr>
        <w:t xml:space="preserve"> N - zestawu 9 pierwiastków śladowych zawierający: Cynk 100 µmol, </w:t>
      </w:r>
      <w:proofErr w:type="spellStart"/>
      <w:r w:rsidRPr="002F7767">
        <w:rPr>
          <w:rFonts w:ascii="Verdana" w:hAnsi="Verdana" w:cs="Tahoma"/>
          <w:color w:val="000000"/>
          <w:sz w:val="18"/>
          <w:szCs w:val="20"/>
        </w:rPr>
        <w:t>Miedż</w:t>
      </w:r>
      <w:proofErr w:type="spellEnd"/>
      <w:r w:rsidRPr="002F7767">
        <w:rPr>
          <w:rFonts w:ascii="Verdana" w:hAnsi="Verdana" w:cs="Tahoma"/>
          <w:color w:val="000000"/>
          <w:sz w:val="18"/>
          <w:szCs w:val="20"/>
        </w:rPr>
        <w:t xml:space="preserve"> 20 µmol, Mangan 5 µmol, Chrom 0,2 µmol, Żelazo 20 µmol, Selen 0,4 µmol, Jod 1,0 µmol, Molibden 0,2 µmol, Fluor 50 µmol w ampułkach a`10ml?</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2F7767">
        <w:rPr>
          <w:rFonts w:ascii="Verdana" w:hAnsi="Verdana" w:cs="Tahoma"/>
          <w:color w:val="000000"/>
          <w:sz w:val="18"/>
          <w:szCs w:val="20"/>
        </w:rPr>
        <w:t xml:space="preserve">Czy Zamawiający wymaga w pakiecie 20, aby zgodnie z treścią Charakterystyki Produktu Leczniczego, preparat </w:t>
      </w:r>
      <w:proofErr w:type="spellStart"/>
      <w:r w:rsidRPr="002F7767">
        <w:rPr>
          <w:rFonts w:ascii="Verdana" w:hAnsi="Verdana" w:cs="Tahoma"/>
          <w:color w:val="000000"/>
          <w:sz w:val="18"/>
          <w:szCs w:val="20"/>
        </w:rPr>
        <w:t>Meropenem</w:t>
      </w:r>
      <w:proofErr w:type="spellEnd"/>
      <w:r w:rsidRPr="002F7767">
        <w:rPr>
          <w:rFonts w:ascii="Verdana" w:hAnsi="Verdana" w:cs="Tahoma"/>
          <w:color w:val="000000"/>
          <w:sz w:val="18"/>
          <w:szCs w:val="20"/>
        </w:rPr>
        <w:t xml:space="preserve"> posiadał stabilność gotowego roztworu do infuzji rozpuszczonego w </w:t>
      </w:r>
      <w:proofErr w:type="spellStart"/>
      <w:r w:rsidRPr="002F7767">
        <w:rPr>
          <w:rFonts w:ascii="Verdana" w:hAnsi="Verdana" w:cs="Tahoma"/>
          <w:color w:val="000000"/>
          <w:sz w:val="18"/>
          <w:szCs w:val="20"/>
        </w:rPr>
        <w:t>NaCl</w:t>
      </w:r>
      <w:proofErr w:type="spellEnd"/>
      <w:r w:rsidRPr="002F7767">
        <w:rPr>
          <w:rFonts w:ascii="Verdana" w:hAnsi="Verdana" w:cs="Tahoma"/>
          <w:color w:val="000000"/>
          <w:sz w:val="18"/>
          <w:szCs w:val="20"/>
        </w:rPr>
        <w:t xml:space="preserve"> 0,9%: 3 godziny w temperaturze 15-25°C i 24 godziny w temperaturze 2-8°C, a w przypadku rozpuszczenia produktu w glukozie 5%: 1 </w:t>
      </w:r>
      <w:proofErr w:type="spellStart"/>
      <w:r w:rsidRPr="002F7767">
        <w:rPr>
          <w:rFonts w:ascii="Verdana" w:hAnsi="Verdana" w:cs="Tahoma"/>
          <w:color w:val="000000"/>
          <w:sz w:val="18"/>
          <w:szCs w:val="20"/>
        </w:rPr>
        <w:t>godz</w:t>
      </w:r>
      <w:proofErr w:type="spellEnd"/>
      <w:r w:rsidRPr="002F7767">
        <w:rPr>
          <w:rFonts w:ascii="Verdana" w:hAnsi="Verdana" w:cs="Tahoma"/>
          <w:color w:val="000000"/>
          <w:sz w:val="18"/>
          <w:szCs w:val="20"/>
        </w:rPr>
        <w:t xml:space="preserve"> w temp. 25ºC i 8 godzin w temp. 2-8ºC, co pozwoli na bezpieczne przeprowadzenie infuzji dożylnej?</w:t>
      </w:r>
    </w:p>
    <w:p w:rsidR="0057267B" w:rsidRDefault="0057267B" w:rsidP="00ED7FB7">
      <w:pPr>
        <w:numPr>
          <w:ilvl w:val="0"/>
          <w:numId w:val="5"/>
        </w:numPr>
        <w:autoSpaceDE w:val="0"/>
        <w:autoSpaceDN w:val="0"/>
        <w:adjustRightInd w:val="0"/>
        <w:spacing w:after="0" w:line="240" w:lineRule="auto"/>
        <w:jc w:val="both"/>
        <w:rPr>
          <w:rFonts w:ascii="Verdana" w:hAnsi="Verdana" w:cs="Tahoma"/>
          <w:color w:val="000000"/>
          <w:sz w:val="18"/>
          <w:szCs w:val="20"/>
        </w:rPr>
      </w:pPr>
      <w:r w:rsidRPr="002F7767">
        <w:rPr>
          <w:rFonts w:ascii="Verdana" w:hAnsi="Verdana" w:cs="Tahoma"/>
          <w:color w:val="000000"/>
          <w:sz w:val="18"/>
          <w:szCs w:val="20"/>
        </w:rPr>
        <w:lastRenderedPageBreak/>
        <w:t xml:space="preserve">Czy Zamawiający wymaga aby produkt </w:t>
      </w:r>
      <w:proofErr w:type="spellStart"/>
      <w:r w:rsidRPr="002F7767">
        <w:rPr>
          <w:rFonts w:ascii="Verdana" w:hAnsi="Verdana" w:cs="Tahoma"/>
          <w:color w:val="000000"/>
          <w:sz w:val="18"/>
          <w:szCs w:val="20"/>
        </w:rPr>
        <w:t>Metamizole</w:t>
      </w:r>
      <w:proofErr w:type="spellEnd"/>
      <w:r w:rsidRPr="002F7767">
        <w:rPr>
          <w:rFonts w:ascii="Verdana" w:hAnsi="Verdana" w:cs="Tahoma"/>
          <w:color w:val="000000"/>
          <w:sz w:val="18"/>
          <w:szCs w:val="20"/>
        </w:rPr>
        <w:t xml:space="preserve"> zaoferowany w pakiecie 58, był zaoferowany w opakowaniu typu ampułka szklana z oranżowego szkła zapewniającym ochronę przed światłem, zgodnie z wymogiem Farmakopei Europejskiej?</w:t>
      </w:r>
    </w:p>
    <w:p w:rsidR="00BA794F" w:rsidRPr="00E007B1" w:rsidRDefault="00BA794F" w:rsidP="00ED7FB7">
      <w:pPr>
        <w:autoSpaceDE w:val="0"/>
        <w:autoSpaceDN w:val="0"/>
        <w:spacing w:after="0" w:line="240" w:lineRule="auto"/>
        <w:jc w:val="both"/>
        <w:rPr>
          <w:rFonts w:ascii="Verdana" w:hAnsi="Verdana" w:cs="Tahoma"/>
          <w:b/>
          <w:sz w:val="20"/>
          <w:szCs w:val="20"/>
        </w:rPr>
      </w:pPr>
      <w:r w:rsidRPr="00E007B1">
        <w:rPr>
          <w:rFonts w:ascii="Verdana" w:hAnsi="Verdana" w:cs="Tahoma"/>
          <w:b/>
          <w:sz w:val="20"/>
          <w:szCs w:val="20"/>
        </w:rPr>
        <w:t>Odpowiedzi:</w:t>
      </w:r>
    </w:p>
    <w:p w:rsidR="00DD0041" w:rsidRPr="00E007B1" w:rsidRDefault="00DD0041" w:rsidP="00DD0041">
      <w:pPr>
        <w:tabs>
          <w:tab w:val="left" w:pos="105"/>
          <w:tab w:val="left" w:pos="120"/>
        </w:tabs>
        <w:spacing w:after="0" w:line="240" w:lineRule="auto"/>
        <w:ind w:firstLine="15"/>
        <w:jc w:val="both"/>
        <w:rPr>
          <w:rFonts w:ascii="Verdana" w:hAnsi="Verdana" w:cs="Tahoma"/>
          <w:b/>
          <w:sz w:val="20"/>
          <w:szCs w:val="20"/>
          <w:shd w:val="clear" w:color="auto" w:fill="FFFFFF"/>
        </w:rPr>
      </w:pPr>
      <w:r>
        <w:rPr>
          <w:rFonts w:ascii="Verdana" w:hAnsi="Verdana" w:cs="Arial"/>
          <w:b/>
          <w:sz w:val="20"/>
          <w:szCs w:val="20"/>
        </w:rPr>
        <w:t xml:space="preserve">Ad </w:t>
      </w:r>
      <w:r w:rsidRPr="00E007B1">
        <w:rPr>
          <w:rFonts w:ascii="Verdana" w:hAnsi="Verdana" w:cs="Arial"/>
          <w:b/>
          <w:sz w:val="20"/>
          <w:szCs w:val="20"/>
        </w:rPr>
        <w:t>1</w:t>
      </w:r>
      <w:r>
        <w:rPr>
          <w:rFonts w:ascii="Verdana" w:hAnsi="Verdana" w:cs="Arial"/>
          <w:b/>
          <w:sz w:val="20"/>
          <w:szCs w:val="20"/>
        </w:rPr>
        <w:t>,3,4,5,6,8,10,11,12</w:t>
      </w:r>
      <w:r w:rsidRPr="00E007B1">
        <w:rPr>
          <w:rFonts w:ascii="Verdana" w:hAnsi="Verdana" w:cs="Arial"/>
          <w:b/>
          <w:sz w:val="20"/>
          <w:szCs w:val="20"/>
        </w:rPr>
        <w:t xml:space="preserve"> </w:t>
      </w:r>
      <w:r>
        <w:rPr>
          <w:rFonts w:ascii="Verdana" w:hAnsi="Verdana" w:cs="Arial"/>
          <w:b/>
          <w:sz w:val="20"/>
          <w:szCs w:val="20"/>
        </w:rPr>
        <w:t>–</w:t>
      </w:r>
      <w:r w:rsidRPr="00E007B1">
        <w:rPr>
          <w:rFonts w:ascii="Verdana" w:hAnsi="Verdana" w:cs="Arial"/>
          <w:b/>
          <w:sz w:val="20"/>
          <w:szCs w:val="20"/>
        </w:rPr>
        <w:t xml:space="preserve"> </w:t>
      </w:r>
      <w:r>
        <w:rPr>
          <w:rFonts w:ascii="Verdana" w:hAnsi="Verdana" w:cs="Tahoma"/>
          <w:b/>
          <w:sz w:val="20"/>
          <w:szCs w:val="20"/>
          <w:shd w:val="clear" w:color="auto" w:fill="FFFFFF"/>
        </w:rPr>
        <w:t>Zamawiający dopuszcza.</w:t>
      </w:r>
    </w:p>
    <w:p w:rsidR="00BA794F" w:rsidRPr="00E007B1" w:rsidRDefault="00BA794F" w:rsidP="00ED7FB7">
      <w:pPr>
        <w:autoSpaceDE w:val="0"/>
        <w:autoSpaceDN w:val="0"/>
        <w:spacing w:after="0" w:line="240" w:lineRule="auto"/>
        <w:jc w:val="both"/>
        <w:rPr>
          <w:rFonts w:ascii="Verdana" w:hAnsi="Verdana" w:cs="Arial"/>
          <w:b/>
          <w:sz w:val="20"/>
          <w:szCs w:val="20"/>
        </w:rPr>
      </w:pPr>
      <w:r w:rsidRPr="00E007B1">
        <w:rPr>
          <w:rFonts w:ascii="Verdana" w:hAnsi="Verdana" w:cs="Tahoma"/>
          <w:b/>
          <w:sz w:val="20"/>
          <w:szCs w:val="20"/>
        </w:rPr>
        <w:t xml:space="preserve">ad </w:t>
      </w:r>
      <w:r w:rsidR="0057267B">
        <w:rPr>
          <w:rFonts w:ascii="Verdana" w:hAnsi="Verdana" w:cs="Tahoma"/>
          <w:b/>
          <w:sz w:val="20"/>
          <w:szCs w:val="20"/>
        </w:rPr>
        <w:t>7,9</w:t>
      </w:r>
      <w:r w:rsidRPr="00E007B1">
        <w:rPr>
          <w:rFonts w:ascii="Verdana" w:hAnsi="Verdana" w:cs="Tahoma"/>
          <w:b/>
          <w:sz w:val="20"/>
          <w:szCs w:val="20"/>
        </w:rPr>
        <w:t xml:space="preserve">: </w:t>
      </w:r>
      <w:r w:rsidRPr="00E007B1">
        <w:rPr>
          <w:rFonts w:ascii="Verdana" w:hAnsi="Verdana" w:cs="Arial"/>
          <w:b/>
          <w:sz w:val="20"/>
          <w:szCs w:val="20"/>
        </w:rPr>
        <w:t>Zamawiający pozostawia zapisy SIWZ bez zmian.</w:t>
      </w:r>
    </w:p>
    <w:p w:rsidR="00207AF3" w:rsidRPr="00E007B1" w:rsidRDefault="00207AF3" w:rsidP="00ED7FB7">
      <w:pPr>
        <w:tabs>
          <w:tab w:val="left" w:pos="105"/>
          <w:tab w:val="left" w:pos="120"/>
        </w:tabs>
        <w:spacing w:after="0" w:line="240" w:lineRule="auto"/>
        <w:ind w:firstLine="15"/>
        <w:jc w:val="both"/>
        <w:rPr>
          <w:rFonts w:ascii="Verdana" w:hAnsi="Verdana"/>
          <w:b/>
          <w:sz w:val="20"/>
          <w:szCs w:val="20"/>
        </w:rPr>
      </w:pPr>
      <w:r w:rsidRPr="00E007B1">
        <w:rPr>
          <w:rFonts w:ascii="Verdana" w:hAnsi="Verdana" w:cs="Tahoma"/>
          <w:b/>
          <w:sz w:val="20"/>
          <w:szCs w:val="20"/>
          <w:shd w:val="clear" w:color="auto" w:fill="FFFFFF"/>
        </w:rPr>
        <w:t xml:space="preserve">ad </w:t>
      </w:r>
      <w:r w:rsidR="0057267B">
        <w:rPr>
          <w:rFonts w:ascii="Verdana" w:hAnsi="Verdana" w:cs="Tahoma"/>
          <w:b/>
          <w:sz w:val="20"/>
          <w:szCs w:val="20"/>
          <w:shd w:val="clear" w:color="auto" w:fill="FFFFFF"/>
        </w:rPr>
        <w:t>2</w:t>
      </w:r>
      <w:r w:rsidRPr="00E007B1">
        <w:rPr>
          <w:rFonts w:ascii="Verdana" w:hAnsi="Verdana" w:cs="Tahoma"/>
          <w:b/>
          <w:sz w:val="20"/>
          <w:szCs w:val="20"/>
          <w:shd w:val="clear" w:color="auto" w:fill="FFFFFF"/>
        </w:rPr>
        <w:t xml:space="preserve"> – </w:t>
      </w:r>
      <w:r w:rsidR="00CA2826">
        <w:rPr>
          <w:rFonts w:ascii="Verdana" w:hAnsi="Verdana" w:cs="Tahoma"/>
          <w:b/>
          <w:sz w:val="20"/>
          <w:szCs w:val="20"/>
          <w:shd w:val="clear" w:color="auto" w:fill="FFFFFF"/>
        </w:rPr>
        <w:t xml:space="preserve">Zamawiający dopuszcza zmianę postaci. </w:t>
      </w:r>
      <w:r w:rsidRPr="000A65FE">
        <w:rPr>
          <w:rFonts w:ascii="Verdana" w:hAnsi="Verdana" w:cs="Tahoma"/>
          <w:b/>
          <w:sz w:val="20"/>
          <w:szCs w:val="20"/>
          <w:highlight w:val="yellow"/>
          <w:shd w:val="clear" w:color="auto" w:fill="FFFFFF"/>
        </w:rPr>
        <w:t xml:space="preserve">Zamawiający </w:t>
      </w:r>
      <w:r w:rsidR="0057267B" w:rsidRPr="000A65FE">
        <w:rPr>
          <w:rFonts w:ascii="Verdana" w:hAnsi="Verdana" w:cs="Tahoma"/>
          <w:b/>
          <w:sz w:val="20"/>
          <w:szCs w:val="20"/>
          <w:highlight w:val="yellow"/>
          <w:shd w:val="clear" w:color="auto" w:fill="FFFFFF"/>
        </w:rPr>
        <w:t xml:space="preserve">usuwa pozycję 30 z pakietu nr 1, ponieważ jest ona zdublowana w pakiecie </w:t>
      </w:r>
      <w:r w:rsidR="000A65FE" w:rsidRPr="000A65FE">
        <w:rPr>
          <w:rFonts w:ascii="Verdana" w:hAnsi="Verdana" w:cs="Tahoma"/>
          <w:b/>
          <w:sz w:val="20"/>
          <w:szCs w:val="20"/>
          <w:highlight w:val="yellow"/>
          <w:shd w:val="clear" w:color="auto" w:fill="FFFFFF"/>
        </w:rPr>
        <w:t>nr</w:t>
      </w:r>
      <w:r w:rsidR="0057267B" w:rsidRPr="000A65FE">
        <w:rPr>
          <w:rFonts w:ascii="Verdana" w:hAnsi="Verdana" w:cs="Tahoma"/>
          <w:b/>
          <w:sz w:val="20"/>
          <w:szCs w:val="20"/>
          <w:highlight w:val="yellow"/>
          <w:shd w:val="clear" w:color="auto" w:fill="FFFFFF"/>
        </w:rPr>
        <w:t xml:space="preserve"> 2 w pozycji 2</w:t>
      </w:r>
      <w:r w:rsidRPr="000A65FE">
        <w:rPr>
          <w:rFonts w:ascii="Verdana" w:hAnsi="Verdana" w:cs="Tahoma"/>
          <w:b/>
          <w:sz w:val="20"/>
          <w:szCs w:val="20"/>
          <w:highlight w:val="yellow"/>
          <w:shd w:val="clear" w:color="auto" w:fill="FFFFFF"/>
        </w:rPr>
        <w:t xml:space="preserve">. </w:t>
      </w:r>
      <w:r w:rsidR="000A65FE" w:rsidRPr="000A65FE">
        <w:rPr>
          <w:rFonts w:ascii="Verdana" w:hAnsi="Verdana" w:cs="Tahoma"/>
          <w:b/>
          <w:sz w:val="20"/>
          <w:szCs w:val="20"/>
          <w:highlight w:val="yellow"/>
          <w:shd w:val="clear" w:color="auto" w:fill="FFFFFF"/>
        </w:rPr>
        <w:t xml:space="preserve">W związku z tym </w:t>
      </w:r>
      <w:proofErr w:type="spellStart"/>
      <w:r w:rsidR="000A65FE" w:rsidRPr="000A65FE">
        <w:rPr>
          <w:rFonts w:ascii="Verdana" w:hAnsi="Verdana" w:cs="Tahoma"/>
          <w:b/>
          <w:sz w:val="20"/>
          <w:szCs w:val="20"/>
          <w:highlight w:val="yellow"/>
          <w:shd w:val="clear" w:color="auto" w:fill="FFFFFF"/>
        </w:rPr>
        <w:t>siwz</w:t>
      </w:r>
      <w:proofErr w:type="spellEnd"/>
      <w:r w:rsidR="000A65FE" w:rsidRPr="000A65FE">
        <w:rPr>
          <w:rFonts w:ascii="Verdana" w:hAnsi="Verdana" w:cs="Tahoma"/>
          <w:b/>
          <w:sz w:val="20"/>
          <w:szCs w:val="20"/>
          <w:highlight w:val="yellow"/>
          <w:shd w:val="clear" w:color="auto" w:fill="FFFFFF"/>
        </w:rPr>
        <w:t xml:space="preserve"> zostaje zmodyfikowany w zakresie </w:t>
      </w:r>
      <w:proofErr w:type="spellStart"/>
      <w:r w:rsidR="000A65FE" w:rsidRPr="000A65FE">
        <w:rPr>
          <w:rFonts w:ascii="Verdana" w:hAnsi="Verdana" w:cs="Tahoma"/>
          <w:b/>
          <w:sz w:val="20"/>
          <w:szCs w:val="20"/>
          <w:highlight w:val="yellow"/>
          <w:shd w:val="clear" w:color="auto" w:fill="FFFFFF"/>
        </w:rPr>
        <w:t>zalacznik</w:t>
      </w:r>
      <w:proofErr w:type="spellEnd"/>
      <w:r w:rsidR="000A65FE" w:rsidRPr="000A65FE">
        <w:rPr>
          <w:rFonts w:ascii="Verdana" w:hAnsi="Verdana" w:cs="Tahoma"/>
          <w:b/>
          <w:sz w:val="20"/>
          <w:szCs w:val="20"/>
          <w:highlight w:val="yellow"/>
          <w:shd w:val="clear" w:color="auto" w:fill="FFFFFF"/>
        </w:rPr>
        <w:t xml:space="preserve"> nr 2_FC_pakiety 1-22_Antybiotyki</w:t>
      </w:r>
      <w:r w:rsidR="000A65FE" w:rsidRPr="00CA2826">
        <w:rPr>
          <w:rFonts w:ascii="Verdana" w:hAnsi="Verdana" w:cs="Tahoma"/>
          <w:b/>
          <w:sz w:val="20"/>
          <w:szCs w:val="20"/>
          <w:highlight w:val="yellow"/>
          <w:shd w:val="clear" w:color="auto" w:fill="FFFFFF"/>
        </w:rPr>
        <w:t>.</w:t>
      </w:r>
      <w:r w:rsidR="005F4DE2" w:rsidRPr="00CA2826">
        <w:rPr>
          <w:highlight w:val="yellow"/>
        </w:rPr>
        <w:t xml:space="preserve"> </w:t>
      </w:r>
      <w:r w:rsidR="005F4DE2" w:rsidRPr="00CA2826">
        <w:rPr>
          <w:b/>
          <w:highlight w:val="yellow"/>
        </w:rPr>
        <w:t xml:space="preserve">oraz </w:t>
      </w:r>
      <w:proofErr w:type="spellStart"/>
      <w:r w:rsidR="005F4DE2" w:rsidRPr="00CA2826">
        <w:rPr>
          <w:rFonts w:ascii="Verdana" w:hAnsi="Verdana" w:cs="Tahoma"/>
          <w:b/>
          <w:sz w:val="20"/>
          <w:szCs w:val="20"/>
          <w:highlight w:val="yellow"/>
          <w:shd w:val="clear" w:color="auto" w:fill="FFFFFF"/>
        </w:rPr>
        <w:t>zalacznik</w:t>
      </w:r>
      <w:proofErr w:type="spellEnd"/>
      <w:r w:rsidR="005F4DE2" w:rsidRPr="00CA2826">
        <w:rPr>
          <w:rFonts w:ascii="Verdana" w:hAnsi="Verdana" w:cs="Tahoma"/>
          <w:b/>
          <w:sz w:val="20"/>
          <w:szCs w:val="20"/>
          <w:highlight w:val="yellow"/>
          <w:shd w:val="clear" w:color="auto" w:fill="FFFFFF"/>
        </w:rPr>
        <w:t xml:space="preserve"> nr 6 WADIUM</w:t>
      </w:r>
      <w:r w:rsidR="00CA2826" w:rsidRPr="00CA2826">
        <w:rPr>
          <w:rFonts w:ascii="Verdana" w:hAnsi="Verdana" w:cs="Tahoma"/>
          <w:b/>
          <w:sz w:val="20"/>
          <w:szCs w:val="20"/>
          <w:highlight w:val="yellow"/>
          <w:shd w:val="clear" w:color="auto" w:fill="FFFFFF"/>
        </w:rPr>
        <w:t>.</w:t>
      </w:r>
    </w:p>
    <w:p w:rsidR="00454CDE" w:rsidRPr="00E007B1" w:rsidRDefault="00454CDE" w:rsidP="00ED7FB7">
      <w:pPr>
        <w:spacing w:after="0" w:line="240" w:lineRule="auto"/>
        <w:rPr>
          <w:rFonts w:ascii="Verdana" w:hAnsi="Verdana"/>
          <w:b/>
          <w:sz w:val="20"/>
          <w:szCs w:val="20"/>
          <w:lang w:eastAsia="pl-PL"/>
        </w:rPr>
      </w:pPr>
    </w:p>
    <w:p w:rsidR="00BA794F" w:rsidRPr="00E007B1" w:rsidRDefault="00222BCC" w:rsidP="00ED7FB7">
      <w:pPr>
        <w:spacing w:after="0" w:line="240" w:lineRule="auto"/>
        <w:rPr>
          <w:rFonts w:ascii="Verdana" w:hAnsi="Verdana"/>
          <w:b/>
          <w:sz w:val="20"/>
          <w:szCs w:val="20"/>
          <w:lang w:eastAsia="pl-PL"/>
        </w:rPr>
      </w:pPr>
      <w:r w:rsidRPr="00E007B1">
        <w:rPr>
          <w:rFonts w:ascii="Verdana" w:hAnsi="Verdana"/>
          <w:b/>
          <w:sz w:val="20"/>
          <w:szCs w:val="20"/>
          <w:lang w:eastAsia="pl-PL"/>
        </w:rPr>
        <w:t>Pytanie 2:</w:t>
      </w:r>
    </w:p>
    <w:p w:rsidR="00C547B8" w:rsidRPr="00ED7FB7" w:rsidRDefault="000A65FE" w:rsidP="00ED7FB7">
      <w:pPr>
        <w:pStyle w:val="Default"/>
        <w:rPr>
          <w:color w:val="auto"/>
          <w:sz w:val="20"/>
          <w:szCs w:val="20"/>
        </w:rPr>
      </w:pPr>
      <w:r w:rsidRPr="00ED7FB7">
        <w:rPr>
          <w:rFonts w:ascii="Calibri" w:eastAsia="Calibri" w:hAnsi="Calibri" w:cs="Times New Roman"/>
          <w:i/>
          <w:iCs/>
          <w:color w:val="auto"/>
          <w:sz w:val="23"/>
          <w:szCs w:val="23"/>
        </w:rPr>
        <w:t xml:space="preserve">Czy Zamawiający wydzieli z </w:t>
      </w:r>
      <w:r w:rsidRPr="00ED7FB7">
        <w:rPr>
          <w:rFonts w:ascii="Calibri" w:eastAsia="Calibri" w:hAnsi="Calibri" w:cs="Calibri"/>
          <w:bCs/>
          <w:i/>
          <w:iCs/>
          <w:color w:val="auto"/>
          <w:sz w:val="23"/>
          <w:szCs w:val="23"/>
        </w:rPr>
        <w:t xml:space="preserve">pakietu nr 77 poz. 3-7 </w:t>
      </w:r>
      <w:r w:rsidRPr="00ED7FB7">
        <w:rPr>
          <w:rFonts w:ascii="Calibri" w:eastAsia="Calibri" w:hAnsi="Calibri" w:cs="Calibri"/>
          <w:i/>
          <w:iCs/>
          <w:color w:val="auto"/>
          <w:sz w:val="23"/>
          <w:szCs w:val="23"/>
        </w:rPr>
        <w:t>(</w:t>
      </w:r>
      <w:proofErr w:type="spellStart"/>
      <w:r w:rsidRPr="00ED7FB7">
        <w:rPr>
          <w:rFonts w:ascii="Calibri" w:eastAsia="Calibri" w:hAnsi="Calibri" w:cs="Calibri"/>
          <w:i/>
          <w:iCs/>
          <w:color w:val="auto"/>
          <w:sz w:val="23"/>
          <w:szCs w:val="23"/>
        </w:rPr>
        <w:t>Enoxaparinum</w:t>
      </w:r>
      <w:proofErr w:type="spellEnd"/>
      <w:r w:rsidRPr="00ED7FB7">
        <w:rPr>
          <w:rFonts w:ascii="Calibri" w:eastAsia="Calibri" w:hAnsi="Calibri" w:cs="Calibri"/>
          <w:i/>
          <w:iCs/>
          <w:color w:val="auto"/>
          <w:sz w:val="23"/>
          <w:szCs w:val="23"/>
        </w:rPr>
        <w:t xml:space="preserve"> </w:t>
      </w:r>
      <w:proofErr w:type="spellStart"/>
      <w:r w:rsidRPr="00ED7FB7">
        <w:rPr>
          <w:rFonts w:ascii="Calibri" w:eastAsia="Calibri" w:hAnsi="Calibri" w:cs="Calibri"/>
          <w:i/>
          <w:iCs/>
          <w:color w:val="auto"/>
          <w:sz w:val="23"/>
          <w:szCs w:val="23"/>
        </w:rPr>
        <w:t>sodium</w:t>
      </w:r>
      <w:proofErr w:type="spellEnd"/>
      <w:r w:rsidRPr="00ED7FB7">
        <w:rPr>
          <w:rFonts w:ascii="Calibri" w:eastAsia="Calibri" w:hAnsi="Calibri" w:cs="Calibri"/>
          <w:i/>
          <w:iCs/>
          <w:color w:val="auto"/>
          <w:sz w:val="23"/>
          <w:szCs w:val="23"/>
        </w:rPr>
        <w:t xml:space="preserve">) </w:t>
      </w:r>
      <w:r w:rsidRPr="00ED7FB7">
        <w:rPr>
          <w:rFonts w:ascii="Calibri" w:eastAsia="Calibri" w:hAnsi="Calibri" w:cs="Calibri"/>
          <w:bCs/>
          <w:i/>
          <w:iCs/>
          <w:color w:val="auto"/>
          <w:sz w:val="23"/>
          <w:szCs w:val="23"/>
        </w:rPr>
        <w:t>do oddzielnego pakietu, co umożliwi złożenie ofert większej liczbie Wykonawców, a tym samym ofert korzystniejszych cenowo?</w:t>
      </w:r>
    </w:p>
    <w:p w:rsidR="00222BCC" w:rsidRPr="00E007B1" w:rsidRDefault="00222BCC" w:rsidP="00ED7FB7">
      <w:pPr>
        <w:autoSpaceDE w:val="0"/>
        <w:autoSpaceDN w:val="0"/>
        <w:spacing w:after="0" w:line="240" w:lineRule="auto"/>
        <w:jc w:val="both"/>
        <w:rPr>
          <w:rFonts w:ascii="Verdana" w:hAnsi="Verdana" w:cs="Tahoma"/>
          <w:b/>
          <w:sz w:val="20"/>
          <w:szCs w:val="20"/>
        </w:rPr>
      </w:pPr>
      <w:r w:rsidRPr="00E007B1">
        <w:rPr>
          <w:rFonts w:ascii="Verdana" w:hAnsi="Verdana" w:cs="Tahoma"/>
          <w:b/>
          <w:sz w:val="20"/>
          <w:szCs w:val="20"/>
        </w:rPr>
        <w:t>Odpowiedzi:</w:t>
      </w:r>
    </w:p>
    <w:p w:rsidR="005F4DE2" w:rsidRPr="00E007B1" w:rsidRDefault="000A65FE" w:rsidP="005F4DE2">
      <w:pPr>
        <w:tabs>
          <w:tab w:val="left" w:pos="105"/>
          <w:tab w:val="left" w:pos="120"/>
        </w:tabs>
        <w:spacing w:after="0" w:line="240" w:lineRule="auto"/>
        <w:ind w:firstLine="15"/>
        <w:jc w:val="both"/>
        <w:rPr>
          <w:rFonts w:ascii="Verdana" w:hAnsi="Verdana"/>
          <w:b/>
          <w:sz w:val="20"/>
          <w:szCs w:val="20"/>
        </w:rPr>
      </w:pPr>
      <w:r w:rsidRPr="007C7F81">
        <w:rPr>
          <w:rFonts w:ascii="Verdana" w:hAnsi="Verdana" w:cs="Tahoma"/>
          <w:b/>
          <w:sz w:val="20"/>
          <w:szCs w:val="20"/>
          <w:highlight w:val="yellow"/>
          <w:shd w:val="clear" w:color="auto" w:fill="FFFFFF"/>
        </w:rPr>
        <w:t>Zamawiający wyłącza pozycj</w:t>
      </w:r>
      <w:r>
        <w:rPr>
          <w:rFonts w:ascii="Verdana" w:hAnsi="Verdana" w:cs="Tahoma"/>
          <w:b/>
          <w:sz w:val="20"/>
          <w:szCs w:val="20"/>
          <w:highlight w:val="yellow"/>
          <w:shd w:val="clear" w:color="auto" w:fill="FFFFFF"/>
        </w:rPr>
        <w:t>e</w:t>
      </w:r>
      <w:r w:rsidRPr="007C7F81">
        <w:rPr>
          <w:rFonts w:ascii="Verdana" w:hAnsi="Verdana" w:cs="Tahoma"/>
          <w:b/>
          <w:sz w:val="20"/>
          <w:szCs w:val="20"/>
          <w:highlight w:val="yellow"/>
          <w:shd w:val="clear" w:color="auto" w:fill="FFFFFF"/>
        </w:rPr>
        <w:t xml:space="preserve"> nr </w:t>
      </w:r>
      <w:r>
        <w:rPr>
          <w:rFonts w:ascii="Verdana" w:hAnsi="Verdana" w:cs="Tahoma"/>
          <w:b/>
          <w:sz w:val="20"/>
          <w:szCs w:val="20"/>
          <w:highlight w:val="yellow"/>
          <w:shd w:val="clear" w:color="auto" w:fill="FFFFFF"/>
        </w:rPr>
        <w:t>3-7</w:t>
      </w:r>
      <w:r w:rsidRPr="007C7F81">
        <w:rPr>
          <w:rFonts w:ascii="Verdana" w:hAnsi="Verdana" w:cs="Tahoma"/>
          <w:b/>
          <w:sz w:val="20"/>
          <w:szCs w:val="20"/>
          <w:highlight w:val="yellow"/>
          <w:shd w:val="clear" w:color="auto" w:fill="FFFFFF"/>
        </w:rPr>
        <w:t xml:space="preserve"> z pakietu nr 77</w:t>
      </w:r>
      <w:r w:rsidR="00D14362">
        <w:rPr>
          <w:rFonts w:ascii="Verdana" w:hAnsi="Verdana" w:cs="Tahoma"/>
          <w:b/>
          <w:sz w:val="20"/>
          <w:szCs w:val="20"/>
          <w:highlight w:val="yellow"/>
          <w:shd w:val="clear" w:color="auto" w:fill="FFFFFF"/>
        </w:rPr>
        <w:t xml:space="preserve"> i tworzy pakiet 77A</w:t>
      </w:r>
      <w:r w:rsidRPr="007C7F81">
        <w:rPr>
          <w:rFonts w:ascii="Verdana" w:hAnsi="Verdana" w:cs="Tahoma"/>
          <w:b/>
          <w:sz w:val="20"/>
          <w:szCs w:val="20"/>
          <w:highlight w:val="yellow"/>
          <w:shd w:val="clear" w:color="auto" w:fill="FFFFFF"/>
        </w:rPr>
        <w:t>.</w:t>
      </w:r>
      <w:r w:rsidRPr="00E007B1">
        <w:rPr>
          <w:rFonts w:ascii="Verdana" w:hAnsi="Verdana" w:cs="Tahoma"/>
          <w:b/>
          <w:sz w:val="20"/>
          <w:szCs w:val="20"/>
          <w:shd w:val="clear" w:color="auto" w:fill="FFFFFF"/>
        </w:rPr>
        <w:t xml:space="preserve"> </w:t>
      </w:r>
      <w:r w:rsidRPr="000A65FE">
        <w:rPr>
          <w:rFonts w:ascii="Verdana" w:hAnsi="Verdana" w:cs="Tahoma"/>
          <w:b/>
          <w:sz w:val="20"/>
          <w:szCs w:val="20"/>
          <w:highlight w:val="yellow"/>
          <w:shd w:val="clear" w:color="auto" w:fill="FFFFFF"/>
        </w:rPr>
        <w:t xml:space="preserve">W związku z tym </w:t>
      </w:r>
      <w:proofErr w:type="spellStart"/>
      <w:r w:rsidRPr="000A65FE">
        <w:rPr>
          <w:rFonts w:ascii="Verdana" w:hAnsi="Verdana" w:cs="Tahoma"/>
          <w:b/>
          <w:sz w:val="20"/>
          <w:szCs w:val="20"/>
          <w:highlight w:val="yellow"/>
          <w:shd w:val="clear" w:color="auto" w:fill="FFFFFF"/>
        </w:rPr>
        <w:t>siwz</w:t>
      </w:r>
      <w:proofErr w:type="spellEnd"/>
      <w:r w:rsidRPr="000A65FE">
        <w:rPr>
          <w:rFonts w:ascii="Verdana" w:hAnsi="Verdana" w:cs="Tahoma"/>
          <w:b/>
          <w:sz w:val="20"/>
          <w:szCs w:val="20"/>
          <w:highlight w:val="yellow"/>
          <w:shd w:val="clear" w:color="auto" w:fill="FFFFFF"/>
        </w:rPr>
        <w:t xml:space="preserve"> zostaje zmodyfikowany w zakresie </w:t>
      </w:r>
      <w:proofErr w:type="spellStart"/>
      <w:r w:rsidRPr="007C7F81">
        <w:rPr>
          <w:rFonts w:ascii="Verdana" w:hAnsi="Verdana" w:cs="Tahoma"/>
          <w:b/>
          <w:sz w:val="20"/>
          <w:szCs w:val="20"/>
          <w:highlight w:val="yellow"/>
          <w:shd w:val="clear" w:color="auto" w:fill="FFFFFF"/>
        </w:rPr>
        <w:t>zalacznik</w:t>
      </w:r>
      <w:proofErr w:type="spellEnd"/>
      <w:r w:rsidRPr="007C7F81">
        <w:rPr>
          <w:rFonts w:ascii="Verdana" w:hAnsi="Verdana" w:cs="Tahoma"/>
          <w:b/>
          <w:sz w:val="20"/>
          <w:szCs w:val="20"/>
          <w:highlight w:val="yellow"/>
          <w:shd w:val="clear" w:color="auto" w:fill="FFFFFF"/>
        </w:rPr>
        <w:t xml:space="preserve"> nr 2_FC_pakiety 57-103_Leki </w:t>
      </w:r>
      <w:proofErr w:type="spellStart"/>
      <w:r w:rsidRPr="007C7F81">
        <w:rPr>
          <w:rFonts w:ascii="Verdana" w:hAnsi="Verdana" w:cs="Tahoma"/>
          <w:b/>
          <w:sz w:val="20"/>
          <w:szCs w:val="20"/>
          <w:highlight w:val="yellow"/>
          <w:shd w:val="clear" w:color="auto" w:fill="FFFFFF"/>
        </w:rPr>
        <w:t>got</w:t>
      </w:r>
      <w:proofErr w:type="spellEnd"/>
      <w:r w:rsidRPr="007C7F81">
        <w:rPr>
          <w:rFonts w:ascii="Verdana" w:hAnsi="Verdana" w:cs="Tahoma"/>
          <w:b/>
          <w:sz w:val="20"/>
          <w:szCs w:val="20"/>
          <w:highlight w:val="yellow"/>
          <w:shd w:val="clear" w:color="auto" w:fill="FFFFFF"/>
        </w:rPr>
        <w:t>.</w:t>
      </w:r>
      <w:r w:rsidR="005F4DE2" w:rsidRPr="005F4DE2">
        <w:rPr>
          <w:b/>
        </w:rPr>
        <w:t xml:space="preserve"> </w:t>
      </w:r>
      <w:r w:rsidR="005F4DE2" w:rsidRPr="00DD0041">
        <w:rPr>
          <w:b/>
          <w:highlight w:val="yellow"/>
        </w:rPr>
        <w:t xml:space="preserve">oraz </w:t>
      </w:r>
      <w:proofErr w:type="spellStart"/>
      <w:r w:rsidR="005F4DE2" w:rsidRPr="00DD0041">
        <w:rPr>
          <w:rFonts w:ascii="Verdana" w:hAnsi="Verdana" w:cs="Tahoma"/>
          <w:b/>
          <w:sz w:val="20"/>
          <w:szCs w:val="20"/>
          <w:highlight w:val="yellow"/>
          <w:shd w:val="clear" w:color="auto" w:fill="FFFFFF"/>
        </w:rPr>
        <w:t>zalacznik</w:t>
      </w:r>
      <w:proofErr w:type="spellEnd"/>
      <w:r w:rsidR="005F4DE2" w:rsidRPr="00DD0041">
        <w:rPr>
          <w:rFonts w:ascii="Verdana" w:hAnsi="Verdana" w:cs="Tahoma"/>
          <w:b/>
          <w:sz w:val="20"/>
          <w:szCs w:val="20"/>
          <w:highlight w:val="yellow"/>
          <w:shd w:val="clear" w:color="auto" w:fill="FFFFFF"/>
        </w:rPr>
        <w:t xml:space="preserve"> nr 6 WADIUM</w:t>
      </w:r>
    </w:p>
    <w:p w:rsidR="000A65FE" w:rsidRPr="00E007B1" w:rsidRDefault="000A65FE" w:rsidP="00ED7FB7">
      <w:pPr>
        <w:tabs>
          <w:tab w:val="left" w:pos="105"/>
          <w:tab w:val="left" w:pos="120"/>
        </w:tabs>
        <w:spacing w:after="0" w:line="240" w:lineRule="auto"/>
        <w:ind w:firstLine="15"/>
        <w:jc w:val="both"/>
        <w:rPr>
          <w:rFonts w:ascii="Verdana" w:hAnsi="Verdana"/>
          <w:b/>
          <w:sz w:val="20"/>
          <w:szCs w:val="20"/>
        </w:rPr>
      </w:pPr>
    </w:p>
    <w:p w:rsidR="00BA794F" w:rsidRPr="00E007B1" w:rsidRDefault="006C0800" w:rsidP="00ED7FB7">
      <w:pPr>
        <w:spacing w:after="0" w:line="240" w:lineRule="auto"/>
        <w:rPr>
          <w:rFonts w:ascii="Verdana" w:hAnsi="Verdana"/>
          <w:b/>
          <w:sz w:val="20"/>
          <w:szCs w:val="20"/>
          <w:lang w:eastAsia="pl-PL"/>
        </w:rPr>
      </w:pPr>
      <w:r w:rsidRPr="00E007B1">
        <w:rPr>
          <w:rFonts w:ascii="Verdana" w:hAnsi="Verdana"/>
          <w:b/>
          <w:sz w:val="20"/>
          <w:szCs w:val="20"/>
          <w:lang w:eastAsia="pl-PL"/>
        </w:rPr>
        <w:t xml:space="preserve">Pytania  </w:t>
      </w:r>
      <w:r w:rsidR="008A0E89" w:rsidRPr="00E007B1">
        <w:rPr>
          <w:rFonts w:ascii="Verdana" w:hAnsi="Verdana"/>
          <w:b/>
          <w:sz w:val="20"/>
          <w:szCs w:val="20"/>
          <w:lang w:eastAsia="pl-PL"/>
        </w:rPr>
        <w:t>3</w:t>
      </w:r>
      <w:r w:rsidRPr="00E007B1">
        <w:rPr>
          <w:rFonts w:ascii="Verdana" w:hAnsi="Verdana"/>
          <w:b/>
          <w:sz w:val="20"/>
          <w:szCs w:val="20"/>
          <w:lang w:eastAsia="pl-PL"/>
        </w:rPr>
        <w:t>:</w:t>
      </w:r>
    </w:p>
    <w:p w:rsidR="000A65FE" w:rsidRPr="00754551" w:rsidRDefault="000A65FE" w:rsidP="00ED7FB7">
      <w:pPr>
        <w:spacing w:after="0" w:line="240" w:lineRule="auto"/>
        <w:rPr>
          <w:rFonts w:ascii="Times New Roman" w:eastAsia="Times New Roman" w:hAnsi="Times New Roman"/>
        </w:rPr>
      </w:pPr>
      <w:r w:rsidRPr="00754551">
        <w:rPr>
          <w:rFonts w:ascii="Times New Roman" w:hAnsi="Times New Roman"/>
          <w:color w:val="000000"/>
          <w:u w:val="single"/>
        </w:rPr>
        <w:t>Dotyczy pakietu nr 125:</w:t>
      </w:r>
      <w:r>
        <w:rPr>
          <w:rFonts w:ascii="Times New Roman" w:hAnsi="Times New Roman"/>
          <w:color w:val="000000"/>
          <w:u w:val="single"/>
        </w:rPr>
        <w:t xml:space="preserve"> </w:t>
      </w:r>
      <w:r>
        <w:rPr>
          <w:rFonts w:ascii="Times New Roman" w:eastAsia="Times New Roman" w:hAnsi="Times New Roman"/>
        </w:rPr>
        <w:t xml:space="preserve">- </w:t>
      </w:r>
      <w:r w:rsidRPr="00754551">
        <w:rPr>
          <w:rFonts w:ascii="Times New Roman" w:eastAsia="Times New Roman" w:hAnsi="Times New Roman"/>
        </w:rPr>
        <w:t xml:space="preserve">Czy Zamawiający w pakiecie nr 125 poz. 1 wymaga zaoferowania koncentrat pierwiastków śladowych w postaci stabilnych soli organicznych ? </w:t>
      </w:r>
    </w:p>
    <w:p w:rsidR="000A65FE" w:rsidRPr="00754551" w:rsidRDefault="000A65FE"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Default="000A65FE" w:rsidP="00ED7FB7">
      <w:pPr>
        <w:spacing w:after="0" w:line="240" w:lineRule="auto"/>
        <w:rPr>
          <w:rFonts w:ascii="Times New Roman" w:hAnsi="Times New Roman"/>
          <w:color w:val="000000"/>
          <w:u w:val="single"/>
        </w:rPr>
      </w:pPr>
    </w:p>
    <w:p w:rsidR="000A65FE" w:rsidRPr="00754551" w:rsidRDefault="000A65FE" w:rsidP="00ED7FB7">
      <w:pPr>
        <w:spacing w:after="0" w:line="240" w:lineRule="auto"/>
        <w:rPr>
          <w:rFonts w:ascii="Times New Roman" w:eastAsia="Times New Roman" w:hAnsi="Times New Roman"/>
        </w:rPr>
      </w:pPr>
      <w:r w:rsidRPr="00754551">
        <w:rPr>
          <w:rFonts w:ascii="Times New Roman" w:hAnsi="Times New Roman"/>
          <w:color w:val="000000"/>
          <w:u w:val="single"/>
        </w:rPr>
        <w:t>Dotyczy pakietu nr 130:</w:t>
      </w:r>
      <w:r>
        <w:rPr>
          <w:rFonts w:ascii="Times New Roman" w:eastAsia="Times New Roman" w:hAnsi="Times New Roman"/>
        </w:rPr>
        <w:t xml:space="preserve">- </w:t>
      </w:r>
      <w:r w:rsidRPr="00754551">
        <w:rPr>
          <w:rFonts w:ascii="Times New Roman" w:eastAsia="Times New Roman" w:hAnsi="Times New Roman"/>
        </w:rPr>
        <w:t xml:space="preserve">Czy Zamawiający w pakiecie nr 130 „witaminy </w:t>
      </w:r>
      <w:proofErr w:type="spellStart"/>
      <w:r w:rsidRPr="00754551">
        <w:rPr>
          <w:rFonts w:ascii="Times New Roman" w:eastAsia="Times New Roman" w:hAnsi="Times New Roman"/>
        </w:rPr>
        <w:t>rozp</w:t>
      </w:r>
      <w:proofErr w:type="spellEnd"/>
      <w:r w:rsidRPr="00754551">
        <w:rPr>
          <w:rFonts w:ascii="Times New Roman" w:eastAsia="Times New Roman" w:hAnsi="Times New Roman"/>
        </w:rPr>
        <w:t xml:space="preserve">. w tłuszczach i wodzie 10 fiol. w proszku” miał na myśli witaminy posiadające potwierdzone badania stabilności z workami do żywienia </w:t>
      </w:r>
      <w:proofErr w:type="spellStart"/>
      <w:r w:rsidRPr="00754551">
        <w:rPr>
          <w:rFonts w:ascii="Times New Roman" w:eastAsia="Times New Roman" w:hAnsi="Times New Roman"/>
        </w:rPr>
        <w:t>pozajeliowego</w:t>
      </w:r>
      <w:proofErr w:type="spellEnd"/>
      <w:r w:rsidRPr="00754551">
        <w:rPr>
          <w:rFonts w:ascii="Times New Roman" w:eastAsia="Times New Roman" w:hAnsi="Times New Roman"/>
        </w:rPr>
        <w:t xml:space="preserve"> RTU oraz brak wpływu na czynniki krzepnięcia krwi pacjenta ? </w:t>
      </w:r>
    </w:p>
    <w:p w:rsidR="000A65FE" w:rsidRPr="00754551" w:rsidRDefault="000A65FE"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A13F84" w:rsidRDefault="00A13F84" w:rsidP="00ED7FB7">
      <w:pPr>
        <w:spacing w:after="0" w:line="240" w:lineRule="auto"/>
        <w:rPr>
          <w:rFonts w:ascii="Times New Roman" w:hAnsi="Times New Roman"/>
          <w:color w:val="000000"/>
          <w:u w:val="single"/>
        </w:rPr>
      </w:pPr>
    </w:p>
    <w:p w:rsidR="000A65FE" w:rsidRPr="00754551" w:rsidRDefault="000A65FE" w:rsidP="00ED7FB7">
      <w:pPr>
        <w:spacing w:after="0" w:line="240" w:lineRule="auto"/>
        <w:rPr>
          <w:rFonts w:ascii="Times New Roman" w:hAnsi="Times New Roman"/>
          <w:iCs/>
        </w:rPr>
      </w:pPr>
      <w:r w:rsidRPr="00754551">
        <w:rPr>
          <w:rFonts w:ascii="Times New Roman" w:hAnsi="Times New Roman"/>
          <w:color w:val="000000"/>
          <w:u w:val="single"/>
        </w:rPr>
        <w:t>Dotyczy pakietu nr 127:</w:t>
      </w:r>
      <w:r>
        <w:rPr>
          <w:rFonts w:ascii="Times New Roman" w:hAnsi="Times New Roman"/>
          <w:color w:val="000000"/>
          <w:u w:val="single"/>
        </w:rPr>
        <w:t xml:space="preserve"> </w:t>
      </w: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1  produkt o takim samym zastosowaniu klinicznym, </w:t>
      </w:r>
      <w:r w:rsidRPr="00754551">
        <w:rPr>
          <w:rFonts w:ascii="Times New Roman" w:hAnsi="Times New Roman"/>
          <w:iCs/>
        </w:rPr>
        <w:t xml:space="preserve">worek trójkomorowy do podaży drogą żył obwodowych zawierający aminokwasy 38g, elektrolity, glukozę 112,5g, azot 6g oraz emulsję tłuszczową, która jest związkiem oleju z oliwek oraz oleju sojowego ( w stosunku 80/20), energii całkowitej 1050 kcal – </w:t>
      </w:r>
      <w:proofErr w:type="spellStart"/>
      <w:r w:rsidRPr="00754551">
        <w:rPr>
          <w:rFonts w:ascii="Times New Roman" w:hAnsi="Times New Roman"/>
          <w:iCs/>
        </w:rPr>
        <w:t>Olimel</w:t>
      </w:r>
      <w:proofErr w:type="spellEnd"/>
      <w:r w:rsidRPr="00754551">
        <w:rPr>
          <w:rFonts w:ascii="Times New Roman" w:hAnsi="Times New Roman"/>
          <w:iCs/>
        </w:rPr>
        <w:t xml:space="preserve"> Peri N4 1500ml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A13F84" w:rsidRDefault="00A13F84"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2  produkt o takim samym zastosowaniu klinicznym, </w:t>
      </w:r>
      <w:r w:rsidRPr="00754551">
        <w:rPr>
          <w:rFonts w:ascii="Times New Roman" w:hAnsi="Times New Roman"/>
          <w:iCs/>
        </w:rPr>
        <w:t xml:space="preserve">worek trójkomorowy do podaży drogą żył obwodowych zawierający aminokwasy 50,6g, elektrolity, glukozę 150g, azot 8g oraz emulsję tłuszczową, która jest związkiem oleju z oliwek oraz oleju sojowego ( w stosunku 80/20), energii całkowitej 1400 kcal – </w:t>
      </w:r>
      <w:proofErr w:type="spellStart"/>
      <w:r w:rsidRPr="00754551">
        <w:rPr>
          <w:rFonts w:ascii="Times New Roman" w:hAnsi="Times New Roman"/>
          <w:iCs/>
        </w:rPr>
        <w:t>Olimel</w:t>
      </w:r>
      <w:proofErr w:type="spellEnd"/>
      <w:r w:rsidRPr="00754551">
        <w:rPr>
          <w:rFonts w:ascii="Times New Roman" w:hAnsi="Times New Roman"/>
          <w:iCs/>
        </w:rPr>
        <w:t xml:space="preserve"> Peri N4 2000ml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lastRenderedPageBreak/>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3  produkt o takim samym zastosowaniu klinicznym, </w:t>
      </w:r>
      <w:r w:rsidRPr="00754551">
        <w:rPr>
          <w:rFonts w:ascii="Times New Roman" w:hAnsi="Times New Roman"/>
          <w:iCs/>
        </w:rPr>
        <w:t xml:space="preserve">worek trójkomorowy  zawierający aminokwasy 40g, elektrolity, glukozę160g, azot 6,6g oraz emulsję tłuszczową, która jest związkiem oleju z oliwek oraz oleju sojowego ( w stosunku 80/20), energii całkowitej 1200 kcal – </w:t>
      </w:r>
      <w:proofErr w:type="spellStart"/>
      <w:r w:rsidRPr="00754551">
        <w:rPr>
          <w:rFonts w:ascii="Times New Roman" w:hAnsi="Times New Roman"/>
          <w:iCs/>
        </w:rPr>
        <w:t>Multimel</w:t>
      </w:r>
      <w:proofErr w:type="spellEnd"/>
      <w:r w:rsidRPr="00754551">
        <w:rPr>
          <w:rFonts w:ascii="Times New Roman" w:hAnsi="Times New Roman"/>
          <w:iCs/>
        </w:rPr>
        <w:t xml:space="preserve"> N7 1000E 1000 ml?</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4  produkt o takim samym zastosowaniu klinicznym, </w:t>
      </w:r>
      <w:r w:rsidRPr="00754551">
        <w:rPr>
          <w:rFonts w:ascii="Times New Roman" w:hAnsi="Times New Roman"/>
          <w:iCs/>
        </w:rPr>
        <w:t xml:space="preserve">worek trójkomorowy  zawierający aminokwasy 66,4g, elektrolity, glukozę210g, azot 10,5g oraz emulsję tłuszczową, która jest związkiem oleju z oliwek oraz oleju sojowego ( w stosunku 80/20), energii całkowitej 1710 kcal – </w:t>
      </w:r>
      <w:proofErr w:type="spellStart"/>
      <w:r w:rsidRPr="00754551">
        <w:rPr>
          <w:rFonts w:ascii="Times New Roman" w:hAnsi="Times New Roman"/>
          <w:iCs/>
        </w:rPr>
        <w:t>Olimel</w:t>
      </w:r>
      <w:proofErr w:type="spellEnd"/>
      <w:r w:rsidRPr="00754551">
        <w:rPr>
          <w:rFonts w:ascii="Times New Roman" w:hAnsi="Times New Roman"/>
          <w:iCs/>
        </w:rPr>
        <w:t xml:space="preserve"> N7E 1500 ml?</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6  produkt o takim samym zastosowaniu klinicznym, </w:t>
      </w:r>
      <w:r w:rsidRPr="00754551">
        <w:rPr>
          <w:rFonts w:ascii="Times New Roman" w:hAnsi="Times New Roman"/>
          <w:iCs/>
        </w:rPr>
        <w:t xml:space="preserve">worek trójkomorowy zawierający aminokwasy 56,9g, elektrolity, glukozę 110g, azot 9g oraz emulsję tłuszczową, która jest związkiem oleju z oliwek oraz oleju sojowego ( w stosunku 80/20), energii całkowitej 1070 kcal – </w:t>
      </w:r>
      <w:proofErr w:type="spellStart"/>
      <w:r w:rsidRPr="00754551">
        <w:rPr>
          <w:rFonts w:ascii="Times New Roman" w:hAnsi="Times New Roman"/>
          <w:iCs/>
        </w:rPr>
        <w:t>Olimel</w:t>
      </w:r>
      <w:proofErr w:type="spellEnd"/>
      <w:r w:rsidRPr="00754551">
        <w:rPr>
          <w:rFonts w:ascii="Times New Roman" w:hAnsi="Times New Roman"/>
          <w:iCs/>
        </w:rPr>
        <w:t xml:space="preserve"> N9E 1000ml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127 w pozycji  nr 7  produkt o takim samym zastosowaniu klinicznym, </w:t>
      </w:r>
      <w:r w:rsidRPr="00754551">
        <w:rPr>
          <w:rFonts w:ascii="Times New Roman" w:hAnsi="Times New Roman"/>
          <w:iCs/>
        </w:rPr>
        <w:t xml:space="preserve">worek trójkomorowy zawierający aminokwasy 85,4g, elektrolity, glukozę 165g, azot 13,5g oraz emulsję tłuszczową, która jest związkiem oleju z oliwek oraz oleju sojowego ( w stosunku 80/20), energii całkowitej 1600 kcal – </w:t>
      </w:r>
      <w:proofErr w:type="spellStart"/>
      <w:r w:rsidRPr="00754551">
        <w:rPr>
          <w:rFonts w:ascii="Times New Roman" w:hAnsi="Times New Roman"/>
          <w:iCs/>
        </w:rPr>
        <w:t>Olimel</w:t>
      </w:r>
      <w:proofErr w:type="spellEnd"/>
      <w:r w:rsidRPr="00754551">
        <w:rPr>
          <w:rFonts w:ascii="Times New Roman" w:hAnsi="Times New Roman"/>
          <w:iCs/>
        </w:rPr>
        <w:t xml:space="preserve"> N9E 1500ml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Default="000A65FE" w:rsidP="00ED7FB7">
      <w:pPr>
        <w:spacing w:after="0" w:line="240" w:lineRule="auto"/>
        <w:rPr>
          <w:rFonts w:ascii="Times New Roman" w:hAnsi="Times New Roman"/>
          <w:color w:val="000000"/>
          <w:u w:val="single"/>
        </w:rPr>
      </w:pPr>
    </w:p>
    <w:p w:rsidR="000A65FE" w:rsidRPr="00754551" w:rsidRDefault="000A65FE" w:rsidP="00ED7FB7">
      <w:pPr>
        <w:spacing w:after="0" w:line="240" w:lineRule="auto"/>
        <w:rPr>
          <w:rFonts w:ascii="Times New Roman" w:eastAsia="Times New Roman" w:hAnsi="Times New Roman"/>
        </w:rPr>
      </w:pPr>
      <w:r w:rsidRPr="00754551">
        <w:rPr>
          <w:rFonts w:ascii="Times New Roman" w:hAnsi="Times New Roman"/>
          <w:color w:val="000000"/>
          <w:u w:val="single"/>
        </w:rPr>
        <w:t>Dotyczy pakietu nr 133:</w:t>
      </w:r>
      <w:r w:rsidR="00A13F84">
        <w:rPr>
          <w:rFonts w:ascii="Times New Roman" w:hAnsi="Times New Roman"/>
          <w:color w:val="000000"/>
          <w:u w:val="single"/>
        </w:rPr>
        <w:t xml:space="preserve"> </w:t>
      </w: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133 w pozycji  nr 4  produkt o takim samym zastosowaniu klinicznym, </w:t>
      </w:r>
      <w:r w:rsidRPr="00754551">
        <w:rPr>
          <w:rFonts w:ascii="Times New Roman" w:hAnsi="Times New Roman"/>
          <w:iCs/>
        </w:rPr>
        <w:t xml:space="preserve">worek trójkomorowy zawierający aminokwasy 56,9g, elektrolity, glukozę 110g, azot 9g oraz emulsję tłuszczową, która jest związkiem oleju z oliwek oraz oleju sojowego ( w stosunku 80/20), energii całkowitej 1070 kcal – </w:t>
      </w:r>
      <w:proofErr w:type="spellStart"/>
      <w:r w:rsidRPr="00754551">
        <w:rPr>
          <w:rFonts w:ascii="Times New Roman" w:hAnsi="Times New Roman"/>
          <w:iCs/>
        </w:rPr>
        <w:t>Olimel</w:t>
      </w:r>
      <w:proofErr w:type="spellEnd"/>
      <w:r w:rsidRPr="00754551">
        <w:rPr>
          <w:rFonts w:ascii="Times New Roman" w:hAnsi="Times New Roman"/>
          <w:iCs/>
        </w:rPr>
        <w:t xml:space="preserve"> N9E 1000ml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lastRenderedPageBreak/>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133 w pozycji  nr 5  produkt o takim samym zastosowaniu klinicznym, </w:t>
      </w:r>
      <w:r w:rsidRPr="00754551">
        <w:rPr>
          <w:rFonts w:ascii="Times New Roman" w:hAnsi="Times New Roman"/>
          <w:iCs/>
        </w:rPr>
        <w:t xml:space="preserve">worek trójkomorowy zawierający aminokwasy 85,4g, elektrolity, glukozę 165g, azot 13,5g oraz emulsję tłuszczową, która jest związkiem oleju z oliwek oraz oleju sojowego ( w stosunku 80/20), energii całkowitej 1600 kcal – </w:t>
      </w:r>
      <w:proofErr w:type="spellStart"/>
      <w:r w:rsidRPr="00754551">
        <w:rPr>
          <w:rFonts w:ascii="Times New Roman" w:hAnsi="Times New Roman"/>
          <w:iCs/>
        </w:rPr>
        <w:t>Olimel</w:t>
      </w:r>
      <w:proofErr w:type="spellEnd"/>
      <w:r w:rsidRPr="00754551">
        <w:rPr>
          <w:rFonts w:ascii="Times New Roman" w:hAnsi="Times New Roman"/>
          <w:iCs/>
        </w:rPr>
        <w:t xml:space="preserve"> N9E 1500ml ?</w:t>
      </w:r>
    </w:p>
    <w:p w:rsidR="000A65FE" w:rsidRPr="00754551" w:rsidRDefault="000A65FE" w:rsidP="00ED7FB7">
      <w:pPr>
        <w:spacing w:after="0" w:line="240" w:lineRule="auto"/>
        <w:rPr>
          <w:rFonts w:ascii="Times New Roman" w:hAnsi="Times New Roman"/>
          <w:b/>
        </w:rPr>
      </w:pPr>
      <w:r w:rsidRPr="00EB12FE">
        <w:rPr>
          <w:rFonts w:ascii="Times New Roman" w:hAnsi="Times New Roman"/>
          <w:color w:val="000000"/>
        </w:rPr>
        <w:t>Pozytywna odpowiedź pozwoli na składanie konkurencyjnych ofert</w:t>
      </w:r>
      <w:r w:rsidRPr="00754551">
        <w:rPr>
          <w:rFonts w:ascii="Times New Roman" w:hAnsi="Times New Roman"/>
          <w:b/>
          <w:color w:val="000000"/>
        </w:rPr>
        <w: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133 w pozycji  nr 6  produkt o takim samym zastosowaniu klinicznym, </w:t>
      </w:r>
      <w:r w:rsidRPr="00754551">
        <w:rPr>
          <w:rFonts w:ascii="Times New Roman" w:hAnsi="Times New Roman"/>
          <w:iCs/>
        </w:rPr>
        <w:t xml:space="preserve">worek trójkomorowy  zawierający aminokwasy 88,6g, elektrolity, glukozę280g, azot 14g oraz emulsję tłuszczową, która jest związkiem oleju z oliwek oraz oleju sojowego ( w stosunku 80/20), energii całkowitej 2270 kcal – </w:t>
      </w:r>
      <w:proofErr w:type="spellStart"/>
      <w:r w:rsidRPr="00754551">
        <w:rPr>
          <w:rFonts w:ascii="Times New Roman" w:hAnsi="Times New Roman"/>
          <w:iCs/>
        </w:rPr>
        <w:t>Olimel</w:t>
      </w:r>
      <w:proofErr w:type="spellEnd"/>
      <w:r w:rsidRPr="00754551">
        <w:rPr>
          <w:rFonts w:ascii="Times New Roman" w:hAnsi="Times New Roman"/>
          <w:iCs/>
        </w:rPr>
        <w:t xml:space="preserve"> N7E 2000 ml?</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133 w pozycji  nr 7  produkt o takim samym zastosowaniu klinicznym, </w:t>
      </w:r>
      <w:r w:rsidRPr="00754551">
        <w:rPr>
          <w:rFonts w:ascii="Times New Roman" w:hAnsi="Times New Roman"/>
          <w:iCs/>
        </w:rPr>
        <w:t xml:space="preserve">worek trójkomorowy do podaży drogą żył obwodowych zawierający aminokwasy 25,3g, elektrolity, glukozę 75g, azot 4g oraz emulsję tłuszczową, która jest związkiem oleju z oliwek oraz oleju sojowego ( w stosunku 80/20), energii całkowitej 700 kcal – </w:t>
      </w:r>
      <w:proofErr w:type="spellStart"/>
      <w:r w:rsidRPr="00754551">
        <w:rPr>
          <w:rFonts w:ascii="Times New Roman" w:hAnsi="Times New Roman"/>
          <w:iCs/>
        </w:rPr>
        <w:t>Olimel</w:t>
      </w:r>
      <w:proofErr w:type="spellEnd"/>
      <w:r w:rsidRPr="00754551">
        <w:rPr>
          <w:rFonts w:ascii="Times New Roman" w:hAnsi="Times New Roman"/>
          <w:iCs/>
        </w:rPr>
        <w:t xml:space="preserve"> Peri N4 1000ml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Pr="00754551" w:rsidRDefault="000A65FE" w:rsidP="00ED7FB7">
      <w:pPr>
        <w:spacing w:after="0" w:line="240" w:lineRule="auto"/>
        <w:rPr>
          <w:rFonts w:ascii="Times New Roman" w:hAnsi="Times New Roman"/>
        </w:rPr>
      </w:pPr>
    </w:p>
    <w:p w:rsidR="000A65FE" w:rsidRPr="00754551" w:rsidRDefault="000A65FE" w:rsidP="00ED7FB7">
      <w:pPr>
        <w:spacing w:after="0" w:line="240" w:lineRule="auto"/>
        <w:rPr>
          <w:rFonts w:ascii="Times New Roman" w:hAnsi="Times New Roman"/>
          <w:iCs/>
        </w:rPr>
      </w:pPr>
      <w:r>
        <w:rPr>
          <w:rFonts w:ascii="Times New Roman" w:hAnsi="Times New Roman"/>
        </w:rPr>
        <w:t xml:space="preserve">- </w:t>
      </w:r>
      <w:r w:rsidRPr="00754551">
        <w:rPr>
          <w:rFonts w:ascii="Times New Roman" w:hAnsi="Times New Roman"/>
        </w:rPr>
        <w:t xml:space="preserve">W trosce o uzyskanie najkorzystniejszych warunków zakupu i sprostanie wymaganiom Zamawiającego, czy  Zamawiający wyrazi zgodę na dostarczenie </w:t>
      </w:r>
      <w:r w:rsidRPr="00754551">
        <w:rPr>
          <w:rFonts w:ascii="Times New Roman" w:hAnsi="Times New Roman"/>
          <w:color w:val="000000"/>
        </w:rPr>
        <w:t xml:space="preserve">w pakiecie nr 133 w pozycji  nr 8  produkt o takim samym zastosowaniu klinicznym, </w:t>
      </w:r>
      <w:r w:rsidRPr="00754551">
        <w:rPr>
          <w:rFonts w:ascii="Times New Roman" w:hAnsi="Times New Roman"/>
          <w:iCs/>
        </w:rPr>
        <w:t xml:space="preserve">worek trójkomorowy do podaży drogą żył obwodowych zawierający aminokwasy 50,6g, elektrolity, glukozę 150g, azot 8g oraz emulsję tłuszczową, która jest związkiem oleju z oliwek oraz oleju sojowego ( w stosunku 80/20), energii całkowitej 1400 kcal – </w:t>
      </w:r>
      <w:proofErr w:type="spellStart"/>
      <w:r w:rsidRPr="00754551">
        <w:rPr>
          <w:rFonts w:ascii="Times New Roman" w:hAnsi="Times New Roman"/>
          <w:iCs/>
        </w:rPr>
        <w:t>Olimel</w:t>
      </w:r>
      <w:proofErr w:type="spellEnd"/>
      <w:r w:rsidRPr="00754551">
        <w:rPr>
          <w:rFonts w:ascii="Times New Roman" w:hAnsi="Times New Roman"/>
          <w:iCs/>
        </w:rPr>
        <w:t xml:space="preserve"> Peri N4 2000ml ?</w:t>
      </w:r>
    </w:p>
    <w:p w:rsidR="000A65FE" w:rsidRPr="00EB12FE" w:rsidRDefault="000A65FE" w:rsidP="00ED7FB7">
      <w:pPr>
        <w:spacing w:after="0" w:line="240" w:lineRule="auto"/>
        <w:rPr>
          <w:rFonts w:ascii="Times New Roman" w:hAnsi="Times New Roman"/>
        </w:rPr>
      </w:pPr>
      <w:r w:rsidRPr="00EB12FE">
        <w:rPr>
          <w:rFonts w:ascii="Times New Roman" w:hAnsi="Times New Roman"/>
          <w:color w:val="000000"/>
        </w:rPr>
        <w:t>Pozytywna odpowiedź pozwoli na składanie konkurencyjnych ofert.</w:t>
      </w:r>
    </w:p>
    <w:p w:rsidR="000A65FE" w:rsidRPr="00754551" w:rsidRDefault="000A65FE" w:rsidP="00ED7FB7">
      <w:pPr>
        <w:spacing w:after="0" w:line="240" w:lineRule="auto"/>
        <w:rPr>
          <w:rFonts w:ascii="Times New Roman" w:hAnsi="Times New Roman"/>
        </w:rPr>
      </w:pPr>
      <w:r w:rsidRPr="00754551">
        <w:rPr>
          <w:rFonts w:ascii="Times New Roman" w:hAnsi="Times New Roman"/>
        </w:rPr>
        <w:t>W przypadku pozytywnej odpowiedzi prosimy o wydzielenie w/w produktu do osobnego pakietu</w:t>
      </w:r>
    </w:p>
    <w:p w:rsidR="00A13F84" w:rsidRPr="00754551" w:rsidRDefault="00A13F84" w:rsidP="00ED7FB7">
      <w:pPr>
        <w:autoSpaceDE w:val="0"/>
        <w:autoSpaceDN w:val="0"/>
        <w:spacing w:after="0" w:line="240" w:lineRule="auto"/>
        <w:jc w:val="both"/>
        <w:rPr>
          <w:rFonts w:ascii="Times New Roman" w:hAnsi="Times New Roman"/>
          <w:color w:val="000000"/>
          <w:u w:val="single"/>
        </w:rPr>
      </w:pPr>
      <w:proofErr w:type="spellStart"/>
      <w:r w:rsidRPr="00E007B1">
        <w:rPr>
          <w:rFonts w:ascii="Verdana" w:hAnsi="Verdana" w:cs="Tahoma"/>
          <w:b/>
          <w:sz w:val="20"/>
          <w:szCs w:val="20"/>
        </w:rPr>
        <w:t>Odpowied</w:t>
      </w:r>
      <w:r>
        <w:rPr>
          <w:rFonts w:ascii="Verdana" w:hAnsi="Verdana" w:cs="Tahoma"/>
          <w:b/>
          <w:sz w:val="20"/>
          <w:szCs w:val="20"/>
        </w:rPr>
        <w:t>ź</w:t>
      </w:r>
      <w:r w:rsidRPr="00E007B1">
        <w:rPr>
          <w:rFonts w:ascii="Verdana" w:hAnsi="Verdana" w:cs="Tahoma"/>
          <w:b/>
          <w:sz w:val="20"/>
          <w:szCs w:val="20"/>
        </w:rPr>
        <w:t>:</w:t>
      </w:r>
      <w:r w:rsidRPr="00E007B1">
        <w:rPr>
          <w:rFonts w:ascii="Verdana" w:hAnsi="Verdana" w:cs="Arial"/>
          <w:b/>
          <w:sz w:val="20"/>
          <w:szCs w:val="20"/>
        </w:rPr>
        <w:t>Zamawiający</w:t>
      </w:r>
      <w:proofErr w:type="spellEnd"/>
      <w:r w:rsidRPr="00E007B1">
        <w:rPr>
          <w:rFonts w:ascii="Verdana" w:hAnsi="Verdana" w:cs="Arial"/>
          <w:b/>
          <w:sz w:val="20"/>
          <w:szCs w:val="20"/>
        </w:rPr>
        <w:t xml:space="preserve"> pozostawia zapisy SIWZ bez zmian.</w:t>
      </w:r>
    </w:p>
    <w:p w:rsidR="000A65FE" w:rsidRDefault="000A65FE" w:rsidP="00ED7FB7">
      <w:pPr>
        <w:autoSpaceDE w:val="0"/>
        <w:autoSpaceDN w:val="0"/>
        <w:spacing w:after="0" w:line="240" w:lineRule="auto"/>
        <w:jc w:val="both"/>
        <w:rPr>
          <w:rFonts w:ascii="Verdana" w:hAnsi="Verdana" w:cs="Tahoma"/>
          <w:b/>
          <w:sz w:val="20"/>
          <w:szCs w:val="20"/>
        </w:rPr>
      </w:pPr>
    </w:p>
    <w:p w:rsidR="00A13F84" w:rsidRPr="00E007B1" w:rsidRDefault="00A13F84" w:rsidP="00ED7FB7">
      <w:pPr>
        <w:spacing w:after="0" w:line="240" w:lineRule="auto"/>
        <w:rPr>
          <w:rFonts w:ascii="Verdana" w:hAnsi="Verdana"/>
          <w:b/>
          <w:sz w:val="20"/>
          <w:szCs w:val="20"/>
          <w:lang w:eastAsia="pl-PL"/>
        </w:rPr>
      </w:pPr>
      <w:r w:rsidRPr="00E007B1">
        <w:rPr>
          <w:rFonts w:ascii="Verdana" w:hAnsi="Verdana"/>
          <w:b/>
          <w:sz w:val="20"/>
          <w:szCs w:val="20"/>
          <w:lang w:eastAsia="pl-PL"/>
        </w:rPr>
        <w:t xml:space="preserve">Pytania  </w:t>
      </w:r>
      <w:r>
        <w:rPr>
          <w:rFonts w:ascii="Verdana" w:hAnsi="Verdana"/>
          <w:b/>
          <w:sz w:val="20"/>
          <w:szCs w:val="20"/>
          <w:lang w:eastAsia="pl-PL"/>
        </w:rPr>
        <w:t>4</w:t>
      </w:r>
      <w:r w:rsidRPr="00E007B1">
        <w:rPr>
          <w:rFonts w:ascii="Verdana" w:hAnsi="Verdana"/>
          <w:b/>
          <w:sz w:val="20"/>
          <w:szCs w:val="20"/>
          <w:lang w:eastAsia="pl-PL"/>
        </w:rPr>
        <w:t>:</w:t>
      </w:r>
    </w:p>
    <w:p w:rsidR="00A13F84" w:rsidRDefault="00A13F84" w:rsidP="00ED7FB7">
      <w:pPr>
        <w:numPr>
          <w:ilvl w:val="0"/>
          <w:numId w:val="6"/>
        </w:numPr>
        <w:spacing w:after="0" w:line="240" w:lineRule="auto"/>
        <w:rPr>
          <w:rFonts w:eastAsia="Times New Roman"/>
          <w:lang w:eastAsia="pl-PL"/>
        </w:rPr>
      </w:pPr>
      <w:r w:rsidRPr="00A13F84">
        <w:rPr>
          <w:rFonts w:eastAsia="Times New Roman"/>
          <w:bCs/>
          <w:i/>
          <w:iCs/>
          <w:color w:val="000000"/>
          <w:lang w:eastAsia="pl-PL"/>
        </w:rPr>
        <w:t xml:space="preserve">Dotyczy pakiet 104 pozycja 36 i 38,czy Zamawiający dopuści preparat </w:t>
      </w:r>
      <w:proofErr w:type="spellStart"/>
      <w:r w:rsidRPr="00A13F84">
        <w:rPr>
          <w:rFonts w:eastAsia="Times New Roman"/>
          <w:bCs/>
          <w:i/>
          <w:iCs/>
          <w:color w:val="000000"/>
          <w:lang w:eastAsia="pl-PL"/>
        </w:rPr>
        <w:t>Morphini</w:t>
      </w:r>
      <w:proofErr w:type="spellEnd"/>
      <w:r w:rsidRPr="00A13F84">
        <w:rPr>
          <w:rFonts w:eastAsia="Times New Roman"/>
          <w:bCs/>
          <w:i/>
          <w:iCs/>
          <w:color w:val="000000"/>
          <w:lang w:eastAsia="pl-PL"/>
        </w:rPr>
        <w:t xml:space="preserve"> </w:t>
      </w:r>
      <w:proofErr w:type="spellStart"/>
      <w:r w:rsidRPr="00A13F84">
        <w:rPr>
          <w:rFonts w:eastAsia="Times New Roman"/>
          <w:bCs/>
          <w:i/>
          <w:iCs/>
          <w:color w:val="000000"/>
          <w:lang w:eastAsia="pl-PL"/>
        </w:rPr>
        <w:t>hydrochloridum</w:t>
      </w:r>
      <w:proofErr w:type="spellEnd"/>
      <w:r w:rsidRPr="00A13F84">
        <w:rPr>
          <w:rFonts w:eastAsia="Times New Roman"/>
          <w:bCs/>
          <w:i/>
          <w:iCs/>
          <w:color w:val="000000"/>
          <w:lang w:eastAsia="pl-PL"/>
        </w:rPr>
        <w:t xml:space="preserve"> 1 % roztwór do </w:t>
      </w:r>
      <w:proofErr w:type="spellStart"/>
      <w:r w:rsidRPr="00A13F84">
        <w:rPr>
          <w:rFonts w:eastAsia="Times New Roman"/>
          <w:bCs/>
          <w:i/>
          <w:iCs/>
          <w:color w:val="000000"/>
          <w:lang w:eastAsia="pl-PL"/>
        </w:rPr>
        <w:t>wstrzykiwań</w:t>
      </w:r>
      <w:proofErr w:type="spellEnd"/>
      <w:r w:rsidRPr="00A13F84">
        <w:rPr>
          <w:rFonts w:eastAsia="Times New Roman"/>
          <w:bCs/>
          <w:i/>
          <w:iCs/>
          <w:color w:val="000000"/>
          <w:lang w:eastAsia="pl-PL"/>
        </w:rPr>
        <w:t xml:space="preserve"> lub infuzji (sól chlorowodorkowa morfiny), który w przeciwieństwie do </w:t>
      </w:r>
      <w:proofErr w:type="spellStart"/>
      <w:r w:rsidRPr="00A13F84">
        <w:rPr>
          <w:rFonts w:eastAsia="Times New Roman"/>
          <w:bCs/>
          <w:i/>
          <w:iCs/>
          <w:color w:val="000000"/>
          <w:lang w:eastAsia="pl-PL"/>
        </w:rPr>
        <w:t>Morphini</w:t>
      </w:r>
      <w:proofErr w:type="spellEnd"/>
      <w:r w:rsidRPr="00A13F84">
        <w:rPr>
          <w:rFonts w:eastAsia="Times New Roman"/>
          <w:bCs/>
          <w:i/>
          <w:iCs/>
          <w:color w:val="000000"/>
          <w:lang w:eastAsia="pl-PL"/>
        </w:rPr>
        <w:t xml:space="preserve"> </w:t>
      </w:r>
      <w:proofErr w:type="spellStart"/>
      <w:r w:rsidRPr="00A13F84">
        <w:rPr>
          <w:rFonts w:eastAsia="Times New Roman"/>
          <w:bCs/>
          <w:i/>
          <w:iCs/>
          <w:color w:val="000000"/>
          <w:lang w:eastAsia="pl-PL"/>
        </w:rPr>
        <w:t>sulfas</w:t>
      </w:r>
      <w:proofErr w:type="spellEnd"/>
      <w:r w:rsidRPr="00A13F84">
        <w:rPr>
          <w:rFonts w:eastAsia="Times New Roman"/>
          <w:bCs/>
          <w:i/>
          <w:iCs/>
          <w:color w:val="000000"/>
          <w:lang w:eastAsia="pl-PL"/>
        </w:rPr>
        <w:t xml:space="preserve"> (soli siarczanowej morfiny) nie zawiera </w:t>
      </w:r>
      <w:proofErr w:type="spellStart"/>
      <w:r w:rsidRPr="00A13F84">
        <w:rPr>
          <w:rFonts w:eastAsia="Times New Roman"/>
          <w:bCs/>
          <w:i/>
          <w:iCs/>
          <w:color w:val="000000"/>
          <w:lang w:eastAsia="pl-PL"/>
        </w:rPr>
        <w:t>pirosiarczynu</w:t>
      </w:r>
      <w:proofErr w:type="spellEnd"/>
      <w:r w:rsidRPr="00A13F84">
        <w:rPr>
          <w:rFonts w:eastAsia="Times New Roman"/>
          <w:bCs/>
          <w:i/>
          <w:iCs/>
          <w:color w:val="000000"/>
          <w:lang w:eastAsia="pl-PL"/>
        </w:rPr>
        <w:t xml:space="preserve"> sodowego, który wg CHPL może być przyczyną alergii?</w:t>
      </w:r>
    </w:p>
    <w:p w:rsidR="00A13F84" w:rsidRPr="00A13F84" w:rsidRDefault="00A13F84" w:rsidP="00ED7FB7">
      <w:pPr>
        <w:spacing w:after="0" w:line="240" w:lineRule="auto"/>
        <w:rPr>
          <w:rFonts w:eastAsia="Times New Roman"/>
          <w:lang w:eastAsia="pl-PL"/>
        </w:rPr>
      </w:pPr>
      <w:proofErr w:type="spellStart"/>
      <w:r w:rsidRPr="00A13F84">
        <w:rPr>
          <w:rFonts w:ascii="Verdana" w:hAnsi="Verdana" w:cs="Tahoma"/>
          <w:b/>
          <w:sz w:val="20"/>
          <w:szCs w:val="20"/>
        </w:rPr>
        <w:t>Odpowiedź:</w:t>
      </w:r>
      <w:r w:rsidRPr="00A13F84">
        <w:rPr>
          <w:rFonts w:ascii="Verdana" w:hAnsi="Verdana" w:cs="Arial"/>
          <w:b/>
          <w:sz w:val="20"/>
          <w:szCs w:val="20"/>
        </w:rPr>
        <w:t>Zamawiający</w:t>
      </w:r>
      <w:proofErr w:type="spellEnd"/>
      <w:r w:rsidRPr="00A13F84">
        <w:rPr>
          <w:rFonts w:ascii="Verdana" w:hAnsi="Verdana" w:cs="Arial"/>
          <w:b/>
          <w:sz w:val="20"/>
          <w:szCs w:val="20"/>
        </w:rPr>
        <w:t xml:space="preserve"> pozostawia zapisy SIWZ bez zmian.</w:t>
      </w:r>
    </w:p>
    <w:p w:rsidR="00A13F84" w:rsidRPr="00A13F84" w:rsidRDefault="00A13F84" w:rsidP="00ED7FB7">
      <w:pPr>
        <w:spacing w:after="0" w:line="240" w:lineRule="auto"/>
        <w:ind w:left="360"/>
        <w:rPr>
          <w:rFonts w:eastAsia="Times New Roman"/>
          <w:lang w:eastAsia="pl-PL"/>
        </w:rPr>
      </w:pPr>
    </w:p>
    <w:p w:rsidR="00ED7FB7" w:rsidRDefault="00ED7FB7" w:rsidP="00ED7FB7">
      <w:pPr>
        <w:spacing w:after="0" w:line="240" w:lineRule="auto"/>
        <w:rPr>
          <w:rFonts w:ascii="Verdana" w:hAnsi="Verdana"/>
          <w:b/>
          <w:sz w:val="20"/>
          <w:szCs w:val="20"/>
          <w:lang w:eastAsia="pl-PL"/>
        </w:rPr>
      </w:pPr>
    </w:p>
    <w:p w:rsidR="00A13F84" w:rsidRDefault="00A13F84" w:rsidP="00ED7FB7">
      <w:pPr>
        <w:spacing w:after="0" w:line="240" w:lineRule="auto"/>
        <w:rPr>
          <w:rFonts w:ascii="Verdana" w:hAnsi="Verdana"/>
          <w:b/>
          <w:sz w:val="20"/>
          <w:szCs w:val="20"/>
          <w:lang w:eastAsia="pl-PL"/>
        </w:rPr>
      </w:pPr>
      <w:r>
        <w:rPr>
          <w:rFonts w:ascii="Verdana" w:hAnsi="Verdana"/>
          <w:b/>
          <w:sz w:val="20"/>
          <w:szCs w:val="20"/>
          <w:lang w:eastAsia="pl-PL"/>
        </w:rPr>
        <w:lastRenderedPageBreak/>
        <w:t>Pytania  5:</w:t>
      </w:r>
    </w:p>
    <w:p w:rsidR="00A13F84" w:rsidRPr="004F7E19" w:rsidRDefault="00A13F84" w:rsidP="00ED7FB7">
      <w:pPr>
        <w:spacing w:after="0" w:line="240" w:lineRule="auto"/>
        <w:rPr>
          <w:lang w:eastAsia="pl-PL"/>
        </w:rPr>
      </w:pPr>
      <w:r w:rsidRPr="004F7E19">
        <w:t>Pytanie nr 1</w:t>
      </w:r>
      <w:r>
        <w:t xml:space="preserve"> </w:t>
      </w:r>
      <w:r w:rsidRPr="004F7E19">
        <w:rPr>
          <w:lang w:eastAsia="pl-PL"/>
        </w:rPr>
        <w:t xml:space="preserve">Czy w trosce o uzyskanie najkorzystniejszych warunków zakupu i najwyższej jakości produktów </w:t>
      </w:r>
      <w:r w:rsidRPr="004F7E19">
        <w:rPr>
          <w:i/>
          <w:iCs/>
          <w:lang w:eastAsia="pl-PL"/>
        </w:rPr>
        <w:t xml:space="preserve">Zamawiający </w:t>
      </w:r>
      <w:r w:rsidRPr="004F7E19">
        <w:rPr>
          <w:lang w:eastAsia="pl-PL"/>
        </w:rPr>
        <w:t xml:space="preserve">wyrazi zgodę na zaoferowanie w Pakiecie nr 105 w pozycji nr 1 Wody do irygacji w opakowaniu typu </w:t>
      </w:r>
      <w:proofErr w:type="spellStart"/>
      <w:r w:rsidRPr="004F7E19">
        <w:rPr>
          <w:lang w:eastAsia="pl-PL"/>
        </w:rPr>
        <w:t>Pour</w:t>
      </w:r>
      <w:proofErr w:type="spellEnd"/>
      <w:r w:rsidRPr="004F7E19">
        <w:rPr>
          <w:lang w:eastAsia="pl-PL"/>
        </w:rPr>
        <w:t xml:space="preserve"> </w:t>
      </w:r>
      <w:proofErr w:type="spellStart"/>
      <w:r w:rsidRPr="004F7E19">
        <w:rPr>
          <w:lang w:eastAsia="pl-PL"/>
        </w:rPr>
        <w:t>Bottle</w:t>
      </w:r>
      <w:proofErr w:type="spellEnd"/>
      <w:r w:rsidRPr="004F7E19">
        <w:rPr>
          <w:lang w:eastAsia="pl-PL"/>
        </w:rPr>
        <w:t>, czyli w kwadratowej odkręcanej butelce, której szyjka zabezpieczona jest specjalnym kołnierzem zapobiegającym potoczeniu się kropli po zewnętrznej powierzchni butelki? Produkt można bezpiecznie  podgrzewać w łaźni wodnej do temperatury 65</w:t>
      </w:r>
      <w:r w:rsidRPr="004F7E19">
        <w:rPr>
          <w:vertAlign w:val="superscript"/>
          <w:lang w:eastAsia="pl-PL"/>
        </w:rPr>
        <w:t>o</w:t>
      </w:r>
      <w:r w:rsidRPr="004F7E19">
        <w:rPr>
          <w:lang w:eastAsia="pl-PL"/>
        </w:rPr>
        <w:t xml:space="preserve">C. </w:t>
      </w:r>
    </w:p>
    <w:p w:rsidR="00A13F84" w:rsidRPr="004F7E19" w:rsidRDefault="00A13F84" w:rsidP="00ED7FB7">
      <w:pPr>
        <w:spacing w:after="0" w:line="240" w:lineRule="auto"/>
      </w:pPr>
    </w:p>
    <w:p w:rsidR="00A13F84" w:rsidRPr="004F7E19" w:rsidRDefault="00A13F84" w:rsidP="00ED7FB7">
      <w:pPr>
        <w:spacing w:after="0" w:line="240" w:lineRule="auto"/>
        <w:rPr>
          <w:lang w:eastAsia="pl-PL"/>
        </w:rPr>
      </w:pPr>
      <w:r w:rsidRPr="004F7E19">
        <w:t xml:space="preserve">Pytanie nr 2 </w:t>
      </w:r>
      <w:r w:rsidRPr="004F7E19">
        <w:rPr>
          <w:lang w:eastAsia="pl-PL"/>
        </w:rPr>
        <w:t xml:space="preserve">Czy w trosce o uzyskanie najkorzystniejszych warunków zakupu i najwyższej jakości produktów </w:t>
      </w:r>
      <w:r w:rsidRPr="004F7E19">
        <w:rPr>
          <w:i/>
          <w:iCs/>
          <w:lang w:eastAsia="pl-PL"/>
        </w:rPr>
        <w:t xml:space="preserve">Zamawiający </w:t>
      </w:r>
      <w:r w:rsidRPr="004F7E19">
        <w:rPr>
          <w:lang w:eastAsia="pl-PL"/>
        </w:rPr>
        <w:t xml:space="preserve">wyrazi zgodę na zaoferowanie w Pakiecie nr 105 w pozycji nr 2 roztworu </w:t>
      </w:r>
      <w:proofErr w:type="spellStart"/>
      <w:r w:rsidRPr="004F7E19">
        <w:rPr>
          <w:lang w:eastAsia="pl-PL"/>
        </w:rPr>
        <w:t>NaCl</w:t>
      </w:r>
      <w:proofErr w:type="spellEnd"/>
      <w:r w:rsidRPr="004F7E19">
        <w:rPr>
          <w:lang w:eastAsia="pl-PL"/>
        </w:rPr>
        <w:t xml:space="preserve"> do irygacji w opakowaniu typu </w:t>
      </w:r>
      <w:proofErr w:type="spellStart"/>
      <w:r w:rsidRPr="004F7E19">
        <w:rPr>
          <w:lang w:eastAsia="pl-PL"/>
        </w:rPr>
        <w:t>Pour</w:t>
      </w:r>
      <w:proofErr w:type="spellEnd"/>
      <w:r w:rsidRPr="004F7E19">
        <w:rPr>
          <w:lang w:eastAsia="pl-PL"/>
        </w:rPr>
        <w:t xml:space="preserve"> </w:t>
      </w:r>
      <w:proofErr w:type="spellStart"/>
      <w:r w:rsidRPr="004F7E19">
        <w:rPr>
          <w:lang w:eastAsia="pl-PL"/>
        </w:rPr>
        <w:t>Bottle</w:t>
      </w:r>
      <w:proofErr w:type="spellEnd"/>
      <w:r w:rsidRPr="004F7E19">
        <w:rPr>
          <w:lang w:eastAsia="pl-PL"/>
        </w:rPr>
        <w:t>, czyli w kwadratowej odkręcanej butelce, której szyjka zabezpieczona jest specjalnym kołnierzem zapobiegającym potoczeniu się kropli po zewnętrznej powierzchni butelki? Produkt można bezpiecznie  podgrzewać w łaźni wodnej do temperatury 65</w:t>
      </w:r>
      <w:r w:rsidRPr="004F7E19">
        <w:rPr>
          <w:vertAlign w:val="superscript"/>
          <w:lang w:eastAsia="pl-PL"/>
        </w:rPr>
        <w:t>o</w:t>
      </w:r>
      <w:r w:rsidRPr="004F7E19">
        <w:rPr>
          <w:lang w:eastAsia="pl-PL"/>
        </w:rPr>
        <w:t xml:space="preserve">C. </w:t>
      </w:r>
    </w:p>
    <w:p w:rsidR="00A13F84" w:rsidRPr="004F7E19" w:rsidRDefault="00A13F84" w:rsidP="00ED7FB7">
      <w:pPr>
        <w:spacing w:after="0" w:line="240" w:lineRule="auto"/>
      </w:pPr>
    </w:p>
    <w:p w:rsidR="00A13F84" w:rsidRPr="004F7E19" w:rsidRDefault="00A13F84" w:rsidP="00ED7FB7">
      <w:pPr>
        <w:autoSpaceDE w:val="0"/>
        <w:autoSpaceDN w:val="0"/>
        <w:spacing w:after="0" w:line="240" w:lineRule="auto"/>
        <w:rPr>
          <w:b/>
          <w:bCs/>
          <w:color w:val="000000"/>
        </w:rPr>
      </w:pPr>
      <w:r w:rsidRPr="004F7E19">
        <w:rPr>
          <w:lang w:eastAsia="pl-PL"/>
        </w:rPr>
        <w:t>Pytanie nr 3</w:t>
      </w:r>
      <w:r>
        <w:rPr>
          <w:lang w:eastAsia="pl-PL"/>
        </w:rPr>
        <w:t xml:space="preserve"> </w:t>
      </w:r>
      <w:r w:rsidRPr="004F7E19">
        <w:rPr>
          <w:color w:val="000000"/>
        </w:rPr>
        <w:t>Czy w trosce o uzyskanie najkorzystniejszych warunków zakupu Zamawiający wyrazi zgodę na zaoferowanie w Pakiecie nr 106 w pozycji nr  1,2,3,4,7,8,9,10,12</w:t>
      </w:r>
    </w:p>
    <w:p w:rsidR="00A13F84" w:rsidRPr="004F7E19" w:rsidRDefault="00A13F84" w:rsidP="00ED7FB7">
      <w:pPr>
        <w:autoSpaceDE w:val="0"/>
        <w:autoSpaceDN w:val="0"/>
        <w:spacing w:after="0" w:line="240" w:lineRule="auto"/>
      </w:pPr>
      <w:r w:rsidRPr="004F7E19">
        <w:t xml:space="preserve">preparatu o takim samym zastosowaniu klinicznym  w worku </w:t>
      </w:r>
      <w:proofErr w:type="spellStart"/>
      <w:r w:rsidRPr="004F7E19">
        <w:t>Viaflo</w:t>
      </w:r>
      <w:proofErr w:type="spellEnd"/>
      <w:r w:rsidRPr="004F7E19">
        <w:t xml:space="preserve"> z dwoma niezależnymi portami, ponieważ:</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 xml:space="preserve">zastosowanie opakowań typu worek </w:t>
      </w:r>
      <w:proofErr w:type="spellStart"/>
      <w:r w:rsidRPr="004F7E19">
        <w:rPr>
          <w:lang w:eastAsia="pl-PL"/>
        </w:rPr>
        <w:t>Viaflo</w:t>
      </w:r>
      <w:proofErr w:type="spellEnd"/>
      <w:r w:rsidRPr="004F7E19">
        <w:rPr>
          <w:lang w:eastAsia="pl-PL"/>
        </w:rPr>
        <w:t xml:space="preserve"> może w znaczny sposób wpłynąć na zmniejszenie ilości zakażeń związanych z linią naczyniową, ponieważ w celu opróżnienia opakowanie nie wymaga odpowietrzania, czyli wyeliminowana jest droga wnikania patogenów bezpośrednio do organizmu pacjenta </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redukcja zakażeń ma bezpośredni wpływ na bezpieczeństwo pacjentów, personelu oraz zmniejszenie kosztów, również tych związanych z ewentualnymi roszczeniami ze strony pacjentów</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 xml:space="preserve">worki </w:t>
      </w:r>
      <w:proofErr w:type="spellStart"/>
      <w:r w:rsidRPr="004F7E19">
        <w:rPr>
          <w:lang w:eastAsia="pl-PL"/>
        </w:rPr>
        <w:t>Viaflo</w:t>
      </w:r>
      <w:proofErr w:type="spellEnd"/>
      <w:r w:rsidRPr="004F7E19">
        <w:rPr>
          <w:lang w:eastAsia="pl-PL"/>
        </w:rPr>
        <w:t xml:space="preserve"> pakowane są w dodatkowe zewnętrzne opakowanie, dzięki czemu są dodatkowo chronione  przed mechanicznymi uszkodzeniami i biologiczną kontaminacją </w:t>
      </w:r>
    </w:p>
    <w:p w:rsidR="00A13F84" w:rsidRPr="004F7E19" w:rsidRDefault="00A13F84" w:rsidP="00ED7FB7">
      <w:pPr>
        <w:numPr>
          <w:ilvl w:val="0"/>
          <w:numId w:val="7"/>
        </w:numPr>
        <w:spacing w:after="0" w:line="240" w:lineRule="auto"/>
        <w:rPr>
          <w:lang w:eastAsia="pl-PL"/>
        </w:rPr>
      </w:pPr>
      <w:r w:rsidRPr="004F7E19">
        <w:rPr>
          <w:lang w:eastAsia="pl-PL"/>
        </w:rPr>
        <w:t>koszty utylizacji opróżnionych worków są nawet o 50% niższe, niż koszty utylizacji opróżnionych butelek</w:t>
      </w:r>
    </w:p>
    <w:p w:rsidR="00A13F84" w:rsidRPr="004F7E19" w:rsidRDefault="00A13F84" w:rsidP="00ED7FB7">
      <w:pPr>
        <w:numPr>
          <w:ilvl w:val="0"/>
          <w:numId w:val="7"/>
        </w:numPr>
        <w:spacing w:after="0" w:line="240" w:lineRule="auto"/>
        <w:rPr>
          <w:lang w:eastAsia="pl-PL"/>
        </w:rPr>
      </w:pPr>
      <w:r w:rsidRPr="004F7E19">
        <w:rPr>
          <w:lang w:eastAsia="pl-PL"/>
        </w:rPr>
        <w:t xml:space="preserve">składowanie produktów w opakowaniu typu worek wymaga znacznie mniejszej powierzchni magazynowej, ponieważ taka forma opakowania zajmuje mniej </w:t>
      </w:r>
      <w:proofErr w:type="spellStart"/>
      <w:r w:rsidRPr="004F7E19">
        <w:rPr>
          <w:lang w:eastAsia="pl-PL"/>
        </w:rPr>
        <w:t>mniejsca</w:t>
      </w:r>
      <w:proofErr w:type="spellEnd"/>
      <w:r w:rsidRPr="004F7E19">
        <w:rPr>
          <w:lang w:eastAsia="pl-PL"/>
        </w:rPr>
        <w:t>?</w:t>
      </w:r>
    </w:p>
    <w:p w:rsidR="00A13F84" w:rsidRPr="004F7E19" w:rsidRDefault="00A13F84" w:rsidP="00ED7FB7">
      <w:pPr>
        <w:autoSpaceDE w:val="0"/>
        <w:autoSpaceDN w:val="0"/>
        <w:spacing w:after="0" w:line="240" w:lineRule="auto"/>
      </w:pPr>
      <w:r w:rsidRPr="004F7E19">
        <w:t>Powyższa modyfikacja umożliwi przystąpienie do postępowania większej liczbie oferentów, co pozwoli Zamawiającemu na uzyskanie korzystniejszej oferty cenowej. W przypadku pozytywnej odpowiedzi prosimy o wydzielenie tych pozycji do osobnego pakietu.</w:t>
      </w:r>
    </w:p>
    <w:p w:rsidR="00A13F84" w:rsidRPr="004F7E19" w:rsidRDefault="00A13F84" w:rsidP="00ED7FB7">
      <w:pPr>
        <w:autoSpaceDE w:val="0"/>
        <w:autoSpaceDN w:val="0"/>
        <w:spacing w:after="0" w:line="240" w:lineRule="auto"/>
      </w:pPr>
    </w:p>
    <w:p w:rsidR="00A13F84" w:rsidRPr="004F7E19" w:rsidRDefault="00A13F84" w:rsidP="00ED7FB7">
      <w:pPr>
        <w:spacing w:after="0" w:line="240" w:lineRule="auto"/>
      </w:pPr>
      <w:r w:rsidRPr="004F7E19">
        <w:t>Pytanie nr 4</w:t>
      </w:r>
      <w:r>
        <w:t xml:space="preserve"> </w:t>
      </w:r>
      <w:r w:rsidRPr="004F7E19">
        <w:t xml:space="preserve">Czy Zamawiający w Pakiecie nr 106, pozycja nr 11 dopuści płyn </w:t>
      </w:r>
      <w:proofErr w:type="spellStart"/>
      <w:r w:rsidRPr="004F7E19">
        <w:t>wieloelektrolitowy</w:t>
      </w:r>
      <w:proofErr w:type="spellEnd"/>
      <w:r w:rsidRPr="004F7E19">
        <w:t xml:space="preserve"> o takim samym zastosowaniu klinicznym zawierający jony </w:t>
      </w:r>
      <w:proofErr w:type="spellStart"/>
      <w:r w:rsidRPr="004F7E19">
        <w:t>Na,Cl,K</w:t>
      </w:r>
      <w:proofErr w:type="spellEnd"/>
      <w:r w:rsidRPr="004F7E19">
        <w:t>, Mg, ale pozbawiony jonów wapnia (Ca),  w opakowaniu typu worek z dwoma portami?</w:t>
      </w:r>
    </w:p>
    <w:p w:rsidR="00A13F84" w:rsidRPr="004F7E19" w:rsidRDefault="00A13F84" w:rsidP="00ED7FB7">
      <w:pPr>
        <w:spacing w:after="0" w:line="240" w:lineRule="auto"/>
      </w:pPr>
      <w:r w:rsidRPr="004F7E19">
        <w:rPr>
          <w:b/>
          <w:bCs/>
        </w:rPr>
        <w:t>Uzasadnienie:</w:t>
      </w:r>
    </w:p>
    <w:p w:rsidR="00A13F84" w:rsidRPr="004F7E19" w:rsidRDefault="00A13F84" w:rsidP="00ED7FB7">
      <w:pPr>
        <w:spacing w:after="0" w:line="240" w:lineRule="auto"/>
      </w:pPr>
      <w:r w:rsidRPr="004F7E19">
        <w:t xml:space="preserve">Formuła pozbawiona wapnia daje możliwość zastosowania z lekami, do których </w:t>
      </w:r>
      <w:proofErr w:type="spellStart"/>
      <w:r w:rsidRPr="004F7E19">
        <w:t>wiąze</w:t>
      </w:r>
      <w:proofErr w:type="spellEnd"/>
      <w:r w:rsidRPr="004F7E19">
        <w:t xml:space="preserve"> się wapń i ogranicza wówczas ich skuteczność oraz daje możliwość zastosowania z preparatami krwi. W przypadku pozytywnej odpowiedzi prosimy o wydzielenie tej pozycji do osobnego pakietu.</w:t>
      </w:r>
    </w:p>
    <w:p w:rsidR="00A13F84" w:rsidRPr="004F7E19" w:rsidRDefault="00A13F84" w:rsidP="00ED7FB7">
      <w:pPr>
        <w:autoSpaceDE w:val="0"/>
        <w:autoSpaceDN w:val="0"/>
        <w:spacing w:after="0" w:line="240" w:lineRule="auto"/>
        <w:rPr>
          <w:lang w:eastAsia="pl-PL"/>
        </w:rPr>
      </w:pPr>
    </w:p>
    <w:p w:rsidR="00A13F84" w:rsidRPr="004F7E19" w:rsidRDefault="00A13F84" w:rsidP="00ED7FB7">
      <w:pPr>
        <w:autoSpaceDE w:val="0"/>
        <w:autoSpaceDN w:val="0"/>
        <w:spacing w:after="0" w:line="240" w:lineRule="auto"/>
        <w:rPr>
          <w:b/>
          <w:bCs/>
          <w:color w:val="000000"/>
        </w:rPr>
      </w:pPr>
      <w:r w:rsidRPr="004F7E19">
        <w:rPr>
          <w:lang w:eastAsia="pl-PL"/>
        </w:rPr>
        <w:lastRenderedPageBreak/>
        <w:t>Pytanie nr 5</w:t>
      </w:r>
      <w:r>
        <w:rPr>
          <w:lang w:eastAsia="pl-PL"/>
        </w:rPr>
        <w:t xml:space="preserve"> </w:t>
      </w:r>
      <w:r w:rsidRPr="004F7E19">
        <w:rPr>
          <w:color w:val="000000"/>
        </w:rPr>
        <w:t>Czy w trosce o uzyskanie najkorzystniejszych warunków zakupu Zamawiający wyrazi zgodę na zaoferowanie w Pakiecie nr 107 w pozycji nr  1,2,3,4,6,7,8,9,11</w:t>
      </w:r>
    </w:p>
    <w:p w:rsidR="00A13F84" w:rsidRPr="004F7E19" w:rsidRDefault="00A13F84" w:rsidP="00ED7FB7">
      <w:pPr>
        <w:autoSpaceDE w:val="0"/>
        <w:autoSpaceDN w:val="0"/>
        <w:spacing w:after="0" w:line="240" w:lineRule="auto"/>
      </w:pPr>
      <w:r w:rsidRPr="004F7E19">
        <w:t xml:space="preserve">preparatu o takim samym zastosowaniu klinicznym  w worku </w:t>
      </w:r>
      <w:proofErr w:type="spellStart"/>
      <w:r w:rsidRPr="004F7E19">
        <w:t>Viaflo</w:t>
      </w:r>
      <w:proofErr w:type="spellEnd"/>
      <w:r w:rsidRPr="004F7E19">
        <w:t xml:space="preserve"> z dwoma niezależnymi portami, ponieważ:</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 xml:space="preserve">zastosowanie opakowań typu worek </w:t>
      </w:r>
      <w:proofErr w:type="spellStart"/>
      <w:r w:rsidRPr="004F7E19">
        <w:rPr>
          <w:lang w:eastAsia="pl-PL"/>
        </w:rPr>
        <w:t>Viaflo</w:t>
      </w:r>
      <w:proofErr w:type="spellEnd"/>
      <w:r w:rsidRPr="004F7E19">
        <w:rPr>
          <w:lang w:eastAsia="pl-PL"/>
        </w:rPr>
        <w:t xml:space="preserve"> może w znaczny sposób wpłynąć na zmniejszenie ilości zakażeń związanych z linią naczyniową, ponieważ w celu opróżnienia opakowanie nie wymaga odpowietrzania, czyli wyeliminowana jest droga wnikania patogenów bezpośrednio do organizmu pacjenta </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redukcja zakażeń ma bezpośredni wpływ na bezpieczeństwo pacjentów, personelu oraz zmniejszenie kosztów, również tych związanych z ewentualnymi roszczeniami ze strony pacjentów</w:t>
      </w:r>
    </w:p>
    <w:p w:rsidR="00A13F84" w:rsidRPr="004F7E19" w:rsidRDefault="00A13F84" w:rsidP="00ED7FB7">
      <w:pPr>
        <w:numPr>
          <w:ilvl w:val="0"/>
          <w:numId w:val="7"/>
        </w:numPr>
        <w:autoSpaceDE w:val="0"/>
        <w:autoSpaceDN w:val="0"/>
        <w:spacing w:after="0" w:line="240" w:lineRule="auto"/>
        <w:rPr>
          <w:lang w:eastAsia="pl-PL"/>
        </w:rPr>
      </w:pPr>
      <w:r w:rsidRPr="004F7E19">
        <w:rPr>
          <w:lang w:eastAsia="pl-PL"/>
        </w:rPr>
        <w:t xml:space="preserve">worki </w:t>
      </w:r>
      <w:proofErr w:type="spellStart"/>
      <w:r w:rsidRPr="004F7E19">
        <w:rPr>
          <w:lang w:eastAsia="pl-PL"/>
        </w:rPr>
        <w:t>Viaflo</w:t>
      </w:r>
      <w:proofErr w:type="spellEnd"/>
      <w:r w:rsidRPr="004F7E19">
        <w:rPr>
          <w:lang w:eastAsia="pl-PL"/>
        </w:rPr>
        <w:t xml:space="preserve"> pakowane są w dodatkowe zewnętrzne opakowanie, dzięki czemu są dodatkowo chronione  przed mechanicznymi uszkodzeniami i biologiczną kontaminacją </w:t>
      </w:r>
    </w:p>
    <w:p w:rsidR="00A13F84" w:rsidRPr="004F7E19" w:rsidRDefault="00A13F84" w:rsidP="00ED7FB7">
      <w:pPr>
        <w:numPr>
          <w:ilvl w:val="0"/>
          <w:numId w:val="7"/>
        </w:numPr>
        <w:spacing w:after="0" w:line="240" w:lineRule="auto"/>
        <w:rPr>
          <w:lang w:eastAsia="pl-PL"/>
        </w:rPr>
      </w:pPr>
      <w:r w:rsidRPr="004F7E19">
        <w:rPr>
          <w:lang w:eastAsia="pl-PL"/>
        </w:rPr>
        <w:t>koszty utylizacji opróżnionych worków są nawet o 50% niższe, niż koszty utylizacji opróżnionych butelek</w:t>
      </w:r>
    </w:p>
    <w:p w:rsidR="00A13F84" w:rsidRPr="004F7E19" w:rsidRDefault="00A13F84" w:rsidP="00ED7FB7">
      <w:pPr>
        <w:numPr>
          <w:ilvl w:val="0"/>
          <w:numId w:val="7"/>
        </w:numPr>
        <w:spacing w:after="0" w:line="240" w:lineRule="auto"/>
        <w:rPr>
          <w:lang w:eastAsia="pl-PL"/>
        </w:rPr>
      </w:pPr>
      <w:r w:rsidRPr="004F7E19">
        <w:rPr>
          <w:lang w:eastAsia="pl-PL"/>
        </w:rPr>
        <w:t xml:space="preserve">składowanie produktów w opakowaniu typu worek wymaga znacznie mniejszej powierzchni magazynowej, ponieważ taka forma opakowania zajmuje mniej </w:t>
      </w:r>
      <w:proofErr w:type="spellStart"/>
      <w:r w:rsidRPr="004F7E19">
        <w:rPr>
          <w:lang w:eastAsia="pl-PL"/>
        </w:rPr>
        <w:t>mniejsca</w:t>
      </w:r>
      <w:proofErr w:type="spellEnd"/>
      <w:r w:rsidRPr="004F7E19">
        <w:rPr>
          <w:lang w:eastAsia="pl-PL"/>
        </w:rPr>
        <w:t>?</w:t>
      </w:r>
    </w:p>
    <w:p w:rsidR="00A13F84" w:rsidRPr="004F7E19" w:rsidRDefault="00A13F84" w:rsidP="00ED7FB7">
      <w:pPr>
        <w:autoSpaceDE w:val="0"/>
        <w:autoSpaceDN w:val="0"/>
        <w:spacing w:after="0" w:line="240" w:lineRule="auto"/>
      </w:pPr>
      <w:r w:rsidRPr="004F7E19">
        <w:t>Powyższa modyfikacja umożliwi przystąpienie do postępowania większej liczbie oferentów, co pozwoli Zamawiającemu na uzyskanie korzystniejszej oferty cenowej. W przypadku pozytywnej odpowiedzi prosimy o wydzielenie tych pozycji do osobnego pakietu.</w:t>
      </w:r>
    </w:p>
    <w:p w:rsidR="00A13F84" w:rsidRPr="004F7E19" w:rsidRDefault="00A13F84" w:rsidP="00ED7FB7">
      <w:pPr>
        <w:spacing w:after="0" w:line="240" w:lineRule="auto"/>
      </w:pPr>
    </w:p>
    <w:p w:rsidR="00A13F84" w:rsidRPr="004F7E19" w:rsidRDefault="00A13F84" w:rsidP="00ED7FB7">
      <w:pPr>
        <w:spacing w:after="0" w:line="240" w:lineRule="auto"/>
      </w:pPr>
      <w:r w:rsidRPr="004F7E19">
        <w:t>Pytanie nr 6</w:t>
      </w:r>
      <w:r>
        <w:t xml:space="preserve"> </w:t>
      </w:r>
      <w:r w:rsidRPr="004F7E19">
        <w:t xml:space="preserve">Czy Zamawiający w Pakiecie nr 107, pozycja nr 10 dopuści płyn </w:t>
      </w:r>
      <w:proofErr w:type="spellStart"/>
      <w:r w:rsidRPr="004F7E19">
        <w:t>wieloelektrolitowy</w:t>
      </w:r>
      <w:proofErr w:type="spellEnd"/>
      <w:r w:rsidRPr="004F7E19">
        <w:t xml:space="preserve"> o takim samym zastosowaniu klinicznym zawierający jony </w:t>
      </w:r>
      <w:proofErr w:type="spellStart"/>
      <w:r w:rsidRPr="004F7E19">
        <w:t>Na,Cl,K</w:t>
      </w:r>
      <w:proofErr w:type="spellEnd"/>
      <w:r w:rsidRPr="004F7E19">
        <w:t>, Mg, ale pozbawiony jonów wapnia (Ca),  w opakowaniu typu worek z dwoma portami?</w:t>
      </w:r>
    </w:p>
    <w:p w:rsidR="00A13F84" w:rsidRPr="00EB12FE" w:rsidRDefault="00A13F84" w:rsidP="00ED7FB7">
      <w:pPr>
        <w:spacing w:after="0" w:line="240" w:lineRule="auto"/>
      </w:pPr>
      <w:r w:rsidRPr="00EB12FE">
        <w:rPr>
          <w:bCs/>
        </w:rPr>
        <w:t>Uzasadnienie:</w:t>
      </w:r>
    </w:p>
    <w:p w:rsidR="00A13F84" w:rsidRPr="004F7E19" w:rsidRDefault="00A13F84" w:rsidP="00ED7FB7">
      <w:pPr>
        <w:spacing w:after="0" w:line="240" w:lineRule="auto"/>
      </w:pPr>
      <w:r w:rsidRPr="004F7E19">
        <w:t xml:space="preserve">Formuła pozbawiona wapnia daje możliwość zastosowania z lekami, do których </w:t>
      </w:r>
      <w:proofErr w:type="spellStart"/>
      <w:r w:rsidRPr="004F7E19">
        <w:t>wiąze</w:t>
      </w:r>
      <w:proofErr w:type="spellEnd"/>
      <w:r w:rsidRPr="004F7E19">
        <w:t xml:space="preserve"> się wapń i ogranicza wówczas ich skuteczność oraz daje możliwość zastosowania z preparatami krwi. W przypadku pozytywnej odpowiedzi prosimy o wydzielenie tej pozycji do osobnego pakietu.</w:t>
      </w:r>
    </w:p>
    <w:p w:rsidR="00A13F84" w:rsidRPr="004F7E19" w:rsidRDefault="00A13F84" w:rsidP="00ED7FB7">
      <w:pPr>
        <w:spacing w:after="0" w:line="240" w:lineRule="auto"/>
      </w:pPr>
    </w:p>
    <w:p w:rsidR="00A13F84" w:rsidRPr="004F7E19" w:rsidRDefault="00A13F84" w:rsidP="00ED7FB7">
      <w:pPr>
        <w:spacing w:after="0" w:line="240" w:lineRule="auto"/>
        <w:rPr>
          <w:lang w:eastAsia="pl-PL"/>
        </w:rPr>
      </w:pPr>
      <w:r w:rsidRPr="004F7E19">
        <w:t>Pytanie nr 7</w:t>
      </w:r>
      <w:r>
        <w:t xml:space="preserve"> </w:t>
      </w:r>
      <w:r w:rsidRPr="004F7E19">
        <w:rPr>
          <w:lang w:eastAsia="pl-PL"/>
        </w:rPr>
        <w:t xml:space="preserve">Czy w trosce o uzyskanie najkorzystniejszych warunków zakupu i najwyższej jakości produktów </w:t>
      </w:r>
      <w:r w:rsidRPr="004F7E19">
        <w:rPr>
          <w:i/>
          <w:iCs/>
          <w:lang w:eastAsia="pl-PL"/>
        </w:rPr>
        <w:t xml:space="preserve">Zamawiający </w:t>
      </w:r>
      <w:r w:rsidRPr="004F7E19">
        <w:rPr>
          <w:lang w:eastAsia="pl-PL"/>
        </w:rPr>
        <w:t xml:space="preserve">wyrazi zgodę na zaoferowanie w Pakiecie nr 112 w pozycji nr 1 Wody do irygacji w opakowaniu typu </w:t>
      </w:r>
      <w:proofErr w:type="spellStart"/>
      <w:r w:rsidRPr="004F7E19">
        <w:rPr>
          <w:lang w:eastAsia="pl-PL"/>
        </w:rPr>
        <w:t>Pour</w:t>
      </w:r>
      <w:proofErr w:type="spellEnd"/>
      <w:r w:rsidRPr="004F7E19">
        <w:rPr>
          <w:lang w:eastAsia="pl-PL"/>
        </w:rPr>
        <w:t xml:space="preserve"> </w:t>
      </w:r>
      <w:proofErr w:type="spellStart"/>
      <w:r w:rsidRPr="004F7E19">
        <w:rPr>
          <w:lang w:eastAsia="pl-PL"/>
        </w:rPr>
        <w:t>Bottle</w:t>
      </w:r>
      <w:proofErr w:type="spellEnd"/>
      <w:r w:rsidRPr="004F7E19">
        <w:rPr>
          <w:lang w:eastAsia="pl-PL"/>
        </w:rPr>
        <w:t>, czyli w kwadratowej odkręcanej butelce, której szyjka zabezpieczona jest specjalnym kołnierzem zapobiegającym potoczeniu się kropli po zewnętrznej powierzchni butelki? Produkt można bezpiecznie  podgrzewać w łaźni wodnej do temperatury 65</w:t>
      </w:r>
      <w:r w:rsidRPr="004F7E19">
        <w:rPr>
          <w:vertAlign w:val="superscript"/>
          <w:lang w:eastAsia="pl-PL"/>
        </w:rPr>
        <w:t>o</w:t>
      </w:r>
      <w:r w:rsidRPr="004F7E19">
        <w:rPr>
          <w:lang w:eastAsia="pl-PL"/>
        </w:rPr>
        <w:t xml:space="preserve">C. </w:t>
      </w:r>
    </w:p>
    <w:p w:rsidR="00A13F84" w:rsidRPr="004F7E19" w:rsidRDefault="00A13F84" w:rsidP="00ED7FB7">
      <w:pPr>
        <w:spacing w:after="0" w:line="240" w:lineRule="auto"/>
      </w:pPr>
    </w:p>
    <w:p w:rsidR="00A13F84" w:rsidRPr="004F7E19" w:rsidRDefault="00A13F84" w:rsidP="00ED7FB7">
      <w:pPr>
        <w:spacing w:after="0" w:line="240" w:lineRule="auto"/>
        <w:rPr>
          <w:lang w:eastAsia="pl-PL"/>
        </w:rPr>
      </w:pPr>
      <w:r w:rsidRPr="004F7E19">
        <w:t>Pytanie nr 8</w:t>
      </w:r>
      <w:r>
        <w:t xml:space="preserve"> </w:t>
      </w:r>
      <w:r w:rsidRPr="004F7E19">
        <w:rPr>
          <w:lang w:eastAsia="pl-PL"/>
        </w:rPr>
        <w:t xml:space="preserve">Czy w trosce o uzyskanie najkorzystniejszych warunków zakupu i najwyższej jakości produktów </w:t>
      </w:r>
      <w:r w:rsidRPr="004F7E19">
        <w:rPr>
          <w:i/>
          <w:iCs/>
          <w:lang w:eastAsia="pl-PL"/>
        </w:rPr>
        <w:t xml:space="preserve">Zamawiający </w:t>
      </w:r>
      <w:r w:rsidRPr="004F7E19">
        <w:rPr>
          <w:lang w:eastAsia="pl-PL"/>
        </w:rPr>
        <w:t xml:space="preserve">wyrazi zgodę na zaoferowanie w Pakiecie nr 112 w pozycji nr 2 roztworu </w:t>
      </w:r>
      <w:proofErr w:type="spellStart"/>
      <w:r w:rsidRPr="004F7E19">
        <w:rPr>
          <w:lang w:eastAsia="pl-PL"/>
        </w:rPr>
        <w:t>NaCl</w:t>
      </w:r>
      <w:proofErr w:type="spellEnd"/>
      <w:r w:rsidRPr="004F7E19">
        <w:rPr>
          <w:lang w:eastAsia="pl-PL"/>
        </w:rPr>
        <w:t xml:space="preserve"> do irygacji w opakowaniu typu </w:t>
      </w:r>
      <w:proofErr w:type="spellStart"/>
      <w:r w:rsidRPr="004F7E19">
        <w:rPr>
          <w:lang w:eastAsia="pl-PL"/>
        </w:rPr>
        <w:t>Pour</w:t>
      </w:r>
      <w:proofErr w:type="spellEnd"/>
      <w:r w:rsidRPr="004F7E19">
        <w:rPr>
          <w:lang w:eastAsia="pl-PL"/>
        </w:rPr>
        <w:t xml:space="preserve"> </w:t>
      </w:r>
      <w:proofErr w:type="spellStart"/>
      <w:r w:rsidRPr="004F7E19">
        <w:rPr>
          <w:lang w:eastAsia="pl-PL"/>
        </w:rPr>
        <w:t>Bottle</w:t>
      </w:r>
      <w:proofErr w:type="spellEnd"/>
      <w:r w:rsidRPr="004F7E19">
        <w:rPr>
          <w:lang w:eastAsia="pl-PL"/>
        </w:rPr>
        <w:t>, czyli w kwadratowej odkręcanej butelce, której szyjka zabezpieczona jest specjalnym kołnierzem zapobiegającym potoczeniu się kropli po zewnętrznej powierzchni butelki? Produkt można bezpiecznie  podgrzewać w łaźni wodnej do temperatury 65</w:t>
      </w:r>
      <w:r w:rsidRPr="004F7E19">
        <w:rPr>
          <w:vertAlign w:val="superscript"/>
          <w:lang w:eastAsia="pl-PL"/>
        </w:rPr>
        <w:t>o</w:t>
      </w:r>
      <w:r w:rsidRPr="004F7E19">
        <w:rPr>
          <w:lang w:eastAsia="pl-PL"/>
        </w:rPr>
        <w:t xml:space="preserve">C. </w:t>
      </w:r>
    </w:p>
    <w:p w:rsidR="00A13F84" w:rsidRDefault="00A13F84"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Odpowiedź ad 1-8:</w:t>
      </w:r>
      <w:r>
        <w:rPr>
          <w:rFonts w:ascii="Verdana" w:hAnsi="Verdana" w:cs="Arial"/>
          <w:b/>
          <w:sz w:val="20"/>
          <w:szCs w:val="20"/>
        </w:rPr>
        <w:t>Zamawiający pozostawia zapisy SIWZ bez zmian.</w:t>
      </w:r>
    </w:p>
    <w:p w:rsidR="00A13F84" w:rsidRDefault="00A13F84"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p>
    <w:p w:rsidR="00A13F84" w:rsidRDefault="00A13F84" w:rsidP="00ED7FB7">
      <w:pPr>
        <w:spacing w:after="0" w:line="240" w:lineRule="auto"/>
        <w:rPr>
          <w:rFonts w:ascii="Verdana" w:hAnsi="Verdana"/>
          <w:b/>
          <w:sz w:val="20"/>
          <w:szCs w:val="20"/>
          <w:lang w:eastAsia="pl-PL"/>
        </w:rPr>
      </w:pPr>
      <w:r>
        <w:rPr>
          <w:rFonts w:ascii="Verdana" w:hAnsi="Verdana"/>
          <w:b/>
          <w:sz w:val="20"/>
          <w:szCs w:val="20"/>
          <w:lang w:eastAsia="pl-PL"/>
        </w:rPr>
        <w:lastRenderedPageBreak/>
        <w:t>Pytania  6:</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4"/>
          <w:szCs w:val="24"/>
          <w:lang w:eastAsia="pl-PL"/>
        </w:rPr>
        <w:t xml:space="preserve"> </w:t>
      </w:r>
      <w:r w:rsidRPr="00ED7FB7">
        <w:rPr>
          <w:rFonts w:ascii="Times New Roman" w:hAnsi="Times New Roman"/>
          <w:bCs/>
          <w:color w:val="000000"/>
          <w:sz w:val="21"/>
          <w:szCs w:val="21"/>
          <w:lang w:eastAsia="pl-PL"/>
        </w:rPr>
        <w:t>Pytanie nr 1:</w:t>
      </w:r>
      <w:r w:rsidR="000D3FAC" w:rsidRPr="00ED7FB7">
        <w:rPr>
          <w:rFonts w:ascii="Times New Roman" w:hAnsi="Times New Roman"/>
          <w:bCs/>
          <w:color w:val="000000"/>
          <w:sz w:val="21"/>
          <w:szCs w:val="21"/>
          <w:lang w:eastAsia="pl-PL"/>
        </w:rPr>
        <w:t xml:space="preserve"> </w:t>
      </w:r>
      <w:r w:rsidRPr="00ED7FB7">
        <w:rPr>
          <w:rFonts w:ascii="Times New Roman" w:hAnsi="Times New Roman"/>
          <w:color w:val="000000"/>
          <w:sz w:val="21"/>
          <w:szCs w:val="21"/>
          <w:lang w:eastAsia="pl-PL"/>
        </w:rPr>
        <w:t xml:space="preserve">W ramach pakietu nr 47 Zamawiający przewidział zakup </w:t>
      </w:r>
      <w:proofErr w:type="spellStart"/>
      <w:r w:rsidRPr="00ED7FB7">
        <w:rPr>
          <w:rFonts w:ascii="Times New Roman" w:hAnsi="Times New Roman"/>
          <w:color w:val="000000"/>
          <w:sz w:val="21"/>
          <w:szCs w:val="21"/>
          <w:lang w:eastAsia="pl-PL"/>
        </w:rPr>
        <w:t>Pegfilgrastimum</w:t>
      </w:r>
      <w:proofErr w:type="spellEnd"/>
      <w:r w:rsidRPr="00ED7FB7">
        <w:rPr>
          <w:rFonts w:ascii="Times New Roman" w:hAnsi="Times New Roman"/>
          <w:color w:val="000000"/>
          <w:sz w:val="21"/>
          <w:szCs w:val="21"/>
          <w:lang w:eastAsia="pl-PL"/>
        </w:rPr>
        <w:t xml:space="preserve"> </w:t>
      </w:r>
      <w:proofErr w:type="spellStart"/>
      <w:r w:rsidRPr="00ED7FB7">
        <w:rPr>
          <w:rFonts w:ascii="Times New Roman" w:hAnsi="Times New Roman"/>
          <w:color w:val="000000"/>
          <w:sz w:val="21"/>
          <w:szCs w:val="21"/>
          <w:lang w:eastAsia="pl-PL"/>
        </w:rPr>
        <w:t>r-r</w:t>
      </w:r>
      <w:proofErr w:type="spellEnd"/>
      <w:r w:rsidRPr="00ED7FB7">
        <w:rPr>
          <w:rFonts w:ascii="Times New Roman" w:hAnsi="Times New Roman"/>
          <w:color w:val="000000"/>
          <w:sz w:val="21"/>
          <w:szCs w:val="21"/>
          <w:lang w:eastAsia="pl-PL"/>
        </w:rPr>
        <w:t xml:space="preserve"> do wsztrzyk.6mg/0,6ml x 1amp.strzyk.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 xml:space="preserve">W związku z powyższym, Wykonawca wskazuje, iż obwieszczeniem Ministra Zdrowia z dnia 27 lutego 2019 r. w sprawie wykazu refundowanych leków, środków spożywczych specjalnego przeznaczenia żywieniowego oraz wyrobów medycznych na 1 marca 2019 </w:t>
      </w:r>
      <w:proofErr w:type="spellStart"/>
      <w:r w:rsidRPr="00ED7FB7">
        <w:rPr>
          <w:rFonts w:ascii="Times New Roman" w:hAnsi="Times New Roman"/>
          <w:color w:val="000000"/>
          <w:sz w:val="21"/>
          <w:szCs w:val="21"/>
          <w:lang w:eastAsia="pl-PL"/>
        </w:rPr>
        <w:t>r</w:t>
      </w:r>
      <w:proofErr w:type="spellEnd"/>
      <w:r w:rsidRPr="00ED7FB7">
        <w:rPr>
          <w:rFonts w:ascii="Times New Roman" w:hAnsi="Times New Roman"/>
          <w:color w:val="000000"/>
          <w:sz w:val="21"/>
          <w:szCs w:val="21"/>
          <w:lang w:eastAsia="pl-PL"/>
        </w:rPr>
        <w:t xml:space="preserve">, refundacją objęte zostały dwa </w:t>
      </w:r>
      <w:proofErr w:type="spellStart"/>
      <w:r w:rsidRPr="00ED7FB7">
        <w:rPr>
          <w:rFonts w:ascii="Times New Roman" w:hAnsi="Times New Roman"/>
          <w:color w:val="000000"/>
          <w:sz w:val="21"/>
          <w:szCs w:val="21"/>
          <w:lang w:eastAsia="pl-PL"/>
        </w:rPr>
        <w:t>biopodobne</w:t>
      </w:r>
      <w:proofErr w:type="spellEnd"/>
      <w:r w:rsidRPr="00ED7FB7">
        <w:rPr>
          <w:rFonts w:ascii="Times New Roman" w:hAnsi="Times New Roman"/>
          <w:color w:val="000000"/>
          <w:sz w:val="21"/>
          <w:szCs w:val="21"/>
          <w:lang w:eastAsia="pl-PL"/>
        </w:rPr>
        <w:t xml:space="preserve"> odpowiedniki do referencyjnego </w:t>
      </w:r>
      <w:proofErr w:type="spellStart"/>
      <w:r w:rsidRPr="00ED7FB7">
        <w:rPr>
          <w:rFonts w:ascii="Times New Roman" w:hAnsi="Times New Roman"/>
          <w:color w:val="000000"/>
          <w:sz w:val="21"/>
          <w:szCs w:val="21"/>
          <w:lang w:eastAsia="pl-PL"/>
        </w:rPr>
        <w:t>pegfilgrastimu</w:t>
      </w:r>
      <w:proofErr w:type="spellEnd"/>
      <w:r w:rsidRPr="00ED7FB7">
        <w:rPr>
          <w:rFonts w:ascii="Times New Roman" w:hAnsi="Times New Roman"/>
          <w:color w:val="000000"/>
          <w:sz w:val="21"/>
          <w:szCs w:val="21"/>
          <w:lang w:eastAsia="pl-PL"/>
        </w:rPr>
        <w:t xml:space="preserve"> (</w:t>
      </w:r>
      <w:proofErr w:type="spellStart"/>
      <w:r w:rsidRPr="00ED7FB7">
        <w:rPr>
          <w:rFonts w:ascii="Times New Roman" w:hAnsi="Times New Roman"/>
          <w:color w:val="000000"/>
          <w:sz w:val="21"/>
          <w:szCs w:val="21"/>
          <w:lang w:eastAsia="pl-PL"/>
        </w:rPr>
        <w:t>Neulasta</w:t>
      </w:r>
      <w:proofErr w:type="spellEnd"/>
      <w:r w:rsidRPr="00ED7FB7">
        <w:rPr>
          <w:rFonts w:ascii="Times New Roman" w:hAnsi="Times New Roman"/>
          <w:color w:val="000000"/>
          <w:sz w:val="21"/>
          <w:szCs w:val="21"/>
          <w:lang w:eastAsia="pl-PL"/>
        </w:rPr>
        <w:t xml:space="preserve">®) .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Jednocześnie, należy zauważyć, iż aspekty ekonomiczne (mające istotne znaczenie przy rozstrzyganiu przetargów) nie powinny być wyłączną przesłanką wyboru terapii . Jak wskazuje bowiem Kodeks Etyki Lekarskiej, najwyższym nakazem etycznym lekarza jest dobro chorego, a mechanizmy rynkowe, naciski społeczne i wymagania administracyjne nie zwalniają lekarza z przestrzegania tej zasad</w:t>
      </w:r>
      <w:r w:rsidRPr="00ED7FB7">
        <w:rPr>
          <w:rFonts w:ascii="Times New Roman" w:hAnsi="Times New Roman"/>
          <w:color w:val="000000"/>
          <w:sz w:val="14"/>
          <w:szCs w:val="14"/>
          <w:lang w:eastAsia="pl-PL"/>
        </w:rPr>
        <w:t>1</w:t>
      </w:r>
      <w:r w:rsidRPr="00ED7FB7">
        <w:rPr>
          <w:rFonts w:ascii="Times New Roman" w:hAnsi="Times New Roman"/>
          <w:color w:val="000000"/>
          <w:sz w:val="21"/>
          <w:szCs w:val="21"/>
          <w:lang w:eastAsia="pl-PL"/>
        </w:rPr>
        <w:t xml:space="preserve">.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13"/>
          <w:szCs w:val="13"/>
          <w:lang w:eastAsia="pl-PL"/>
        </w:rPr>
        <w:t xml:space="preserve">1 </w:t>
      </w:r>
      <w:r w:rsidRPr="00ED7FB7">
        <w:rPr>
          <w:rFonts w:ascii="Times New Roman" w:hAnsi="Times New Roman"/>
          <w:color w:val="000000"/>
          <w:sz w:val="20"/>
          <w:szCs w:val="20"/>
          <w:lang w:eastAsia="pl-PL"/>
        </w:rPr>
        <w:t xml:space="preserve">Art. 2 ust. 2 uchwały Nadzwyczajnego II Krajowego Zjazdu Lekarzy z 14 grudnia 1991 w sprawie Kodeksu Etyki Lekarskiej ze zm.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Znaczenie problemu uzależnienia stosowanej terapii wyłącznie od wyniku przetargu, bez uwzględnienia wymogów aktualnej wiedzy medycznej, zostało uznane przez Rzecznika Praw Pacjenta za praktykę naruszającą zbiorowe prawa pacjentów (decyzja Rzecznika Praw Pacjentów nr RzPP-WPR.45.95.2017.MMA z 11 czerwca 2018 r., podtrzymana nieprawomocnym wyrokiem Wojewódzkiego Sądu Administracyjnego w Warszawie z 27 listopada 2018 r., sygn. akt VII SA/</w:t>
      </w:r>
      <w:proofErr w:type="spellStart"/>
      <w:r w:rsidRPr="00ED7FB7">
        <w:rPr>
          <w:rFonts w:ascii="Times New Roman" w:hAnsi="Times New Roman"/>
          <w:color w:val="000000"/>
          <w:sz w:val="21"/>
          <w:szCs w:val="21"/>
          <w:lang w:eastAsia="pl-PL"/>
        </w:rPr>
        <w:t>Wa</w:t>
      </w:r>
      <w:proofErr w:type="spellEnd"/>
      <w:r w:rsidRPr="00ED7FB7">
        <w:rPr>
          <w:rFonts w:ascii="Times New Roman" w:hAnsi="Times New Roman"/>
          <w:color w:val="000000"/>
          <w:sz w:val="21"/>
          <w:szCs w:val="21"/>
          <w:lang w:eastAsia="pl-PL"/>
        </w:rPr>
        <w:t xml:space="preserve"> 1940/18).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 xml:space="preserve">Ponadto warto wskazać fragment wyroku Krajowej Izby Odwoławczej z 22 marca 2010 r., sygn. KIO/UZP 169/10, w którym Izba wprost stwierdza, że „w przypadku gdy istnieje uzasadniona obiektywnymi potrzebami zamawiającego konieczność zakupu tylko jednego produktu, który jednakże może być dostarczony przez różnych dostawców, zamawiający może, a nawet powinien, wskazać powyższe wprost w specyfikacji istotnych warunków zamówienia”. </w:t>
      </w:r>
    </w:p>
    <w:p w:rsidR="00A13F84" w:rsidRPr="00ED7FB7" w:rsidRDefault="00A13F84" w:rsidP="00ED7FB7">
      <w:pPr>
        <w:spacing w:after="0" w:line="240" w:lineRule="auto"/>
        <w:rPr>
          <w:rFonts w:ascii="Verdana" w:hAnsi="Verdana"/>
          <w:sz w:val="20"/>
          <w:szCs w:val="20"/>
          <w:lang w:eastAsia="pl-PL"/>
        </w:rPr>
      </w:pPr>
      <w:r w:rsidRPr="00ED7FB7">
        <w:rPr>
          <w:rFonts w:ascii="Times New Roman" w:hAnsi="Times New Roman"/>
          <w:color w:val="000000"/>
          <w:sz w:val="21"/>
          <w:szCs w:val="21"/>
          <w:lang w:eastAsia="pl-PL"/>
        </w:rPr>
        <w:t xml:space="preserve">Urząd Zamówień Publicznych w dokumencie „Opinia dotycząca opisu przedmiotu zamówienia” wskazuje: „Mając powyższe na uwadze, w opinii Urzędu Zamówień Publicznych treść przepisów ustawy </w:t>
      </w:r>
      <w:proofErr w:type="spellStart"/>
      <w:r w:rsidRPr="00ED7FB7">
        <w:rPr>
          <w:rFonts w:ascii="Times New Roman" w:hAnsi="Times New Roman"/>
          <w:color w:val="000000"/>
          <w:sz w:val="21"/>
          <w:szCs w:val="21"/>
          <w:lang w:eastAsia="pl-PL"/>
        </w:rPr>
        <w:t>Pzp</w:t>
      </w:r>
      <w:proofErr w:type="spellEnd"/>
      <w:r w:rsidRPr="00ED7FB7">
        <w:rPr>
          <w:rFonts w:ascii="Times New Roman" w:hAnsi="Times New Roman"/>
          <w:color w:val="000000"/>
          <w:sz w:val="21"/>
          <w:szCs w:val="21"/>
          <w:lang w:eastAsia="pl-PL"/>
        </w:rPr>
        <w:t xml:space="preserve">, w tym art. 29, nie stoi na przeszkodzie zakupu towarów wysokiej jakości. Dodatkowo należy zwrócić uwagę, iż zamawiający nie musi się kierować przy wyborze oferty najkorzystniejszej wyłącznie kryterium ceny. Zgodnie bowiem z art. 2 </w:t>
      </w:r>
      <w:proofErr w:type="spellStart"/>
      <w:r w:rsidRPr="00ED7FB7">
        <w:rPr>
          <w:rFonts w:ascii="Times New Roman" w:hAnsi="Times New Roman"/>
          <w:color w:val="000000"/>
          <w:sz w:val="21"/>
          <w:szCs w:val="21"/>
          <w:lang w:eastAsia="pl-PL"/>
        </w:rPr>
        <w:t>pkt</w:t>
      </w:r>
      <w:proofErr w:type="spellEnd"/>
      <w:r w:rsidRPr="00ED7FB7">
        <w:rPr>
          <w:rFonts w:ascii="Times New Roman" w:hAnsi="Times New Roman"/>
          <w:color w:val="000000"/>
          <w:sz w:val="21"/>
          <w:szCs w:val="21"/>
          <w:lang w:eastAsia="pl-PL"/>
        </w:rPr>
        <w:t xml:space="preserve"> 5 ustawy, przez najkorzystniejszą ofertę należy rozumieć ofertę, która przedstawia najkorzystniejszy bilans ceny oraz innych kryteriów odnoszących się do przedmiotu zamówienia publicznego albo ofertę z najniższą ceną.”</w:t>
      </w:r>
    </w:p>
    <w:p w:rsidR="00A13F84" w:rsidRPr="00ED7FB7" w:rsidRDefault="00A13F84" w:rsidP="00ED7FB7">
      <w:pPr>
        <w:autoSpaceDE w:val="0"/>
        <w:autoSpaceDN w:val="0"/>
        <w:adjustRightInd w:val="0"/>
        <w:spacing w:after="0" w:line="240" w:lineRule="auto"/>
        <w:rPr>
          <w:rFonts w:ascii="Times New Roman" w:hAnsi="Times New Roman"/>
          <w:color w:val="000000"/>
          <w:sz w:val="14"/>
          <w:szCs w:val="14"/>
          <w:lang w:eastAsia="pl-PL"/>
        </w:rPr>
      </w:pPr>
      <w:r w:rsidRPr="00ED7FB7">
        <w:rPr>
          <w:rFonts w:ascii="Times New Roman" w:hAnsi="Times New Roman"/>
          <w:color w:val="000000"/>
          <w:sz w:val="21"/>
          <w:szCs w:val="21"/>
          <w:lang w:eastAsia="pl-PL"/>
        </w:rPr>
        <w:t>Co więcej, w Prawie zamówień publicznych zostały przewidziane odpowiednie mechanizmy mające na celu zwiększenie konkurencyjności, umożliwiające w takim przypadku np. ograniczenie możliwości składania ofert przez danego wykonawcę tylko na 1 część prowadzonego postępowania lub np. ograniczające części zamówienia, które zostaną udzielone jednemu wykonawcy, w przypadku gdy jego oferta zostanie wybrana w większej niż maksymalna liczba części zamówienia</w:t>
      </w:r>
      <w:r w:rsidRPr="00ED7FB7">
        <w:rPr>
          <w:rFonts w:ascii="Times New Roman" w:hAnsi="Times New Roman"/>
          <w:color w:val="000000"/>
          <w:sz w:val="14"/>
          <w:szCs w:val="14"/>
          <w:lang w:eastAsia="pl-PL"/>
        </w:rPr>
        <w:t xml:space="preserve">2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 xml:space="preserve">W tym kontekście, Wykonawca zwraca również uwagę na występowanie powyższej praktyki dla leku </w:t>
      </w:r>
      <w:proofErr w:type="spellStart"/>
      <w:r w:rsidRPr="00ED7FB7">
        <w:rPr>
          <w:rFonts w:ascii="Times New Roman" w:hAnsi="Times New Roman"/>
          <w:color w:val="000000"/>
          <w:sz w:val="21"/>
          <w:szCs w:val="21"/>
          <w:lang w:eastAsia="pl-PL"/>
        </w:rPr>
        <w:t>Pegfilgrastimum</w:t>
      </w:r>
      <w:proofErr w:type="spellEnd"/>
      <w:r w:rsidRPr="00ED7FB7">
        <w:rPr>
          <w:rFonts w:ascii="Times New Roman" w:hAnsi="Times New Roman"/>
          <w:color w:val="000000"/>
          <w:sz w:val="21"/>
          <w:szCs w:val="21"/>
          <w:lang w:eastAsia="pl-PL"/>
        </w:rPr>
        <w:t xml:space="preserve"> oraz innych </w:t>
      </w:r>
      <w:proofErr w:type="spellStart"/>
      <w:r w:rsidRPr="00ED7FB7">
        <w:rPr>
          <w:rFonts w:ascii="Times New Roman" w:hAnsi="Times New Roman"/>
          <w:color w:val="000000"/>
          <w:sz w:val="21"/>
          <w:szCs w:val="21"/>
          <w:lang w:eastAsia="pl-PL"/>
        </w:rPr>
        <w:t>GSCF-ów</w:t>
      </w:r>
      <w:proofErr w:type="spellEnd"/>
      <w:r w:rsidRPr="00ED7FB7">
        <w:rPr>
          <w:rFonts w:ascii="Times New Roman" w:hAnsi="Times New Roman"/>
          <w:color w:val="000000"/>
          <w:sz w:val="21"/>
          <w:szCs w:val="21"/>
          <w:lang w:eastAsia="pl-PL"/>
        </w:rPr>
        <w:t xml:space="preserve"> . Tytułem przykładu warto wskazać na następujące postępowania o udzielenie zamówienia publicznego, w których zakup produktów leczniczych został dokonany zgodnie z faktycznym zapotrzebowaniem szpitala, oraz w zgodzie ze wskazaniami aktualnej wiedzy medycznej: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 przetarg nieograniczony pn. „</w:t>
      </w:r>
      <w:r w:rsidRPr="00ED7FB7">
        <w:rPr>
          <w:rFonts w:ascii="Times New Roman" w:hAnsi="Times New Roman"/>
          <w:i/>
          <w:iCs/>
          <w:color w:val="000000"/>
          <w:sz w:val="21"/>
          <w:szCs w:val="21"/>
          <w:lang w:eastAsia="pl-PL"/>
        </w:rPr>
        <w:t xml:space="preserve">Dostawa leków” </w:t>
      </w:r>
      <w:r w:rsidRPr="00ED7FB7">
        <w:rPr>
          <w:rFonts w:ascii="Times New Roman" w:hAnsi="Times New Roman"/>
          <w:color w:val="000000"/>
          <w:sz w:val="21"/>
          <w:szCs w:val="21"/>
          <w:lang w:eastAsia="pl-PL"/>
        </w:rPr>
        <w:t xml:space="preserve">prowadzony przez SP ZOZ Wojewódzki Szpital Specjalistyczny Nr 4 w Bytomiu, nr referencyjny: DZP – 2/2019, w którym zakup </w:t>
      </w:r>
      <w:proofErr w:type="spellStart"/>
      <w:r w:rsidRPr="00ED7FB7">
        <w:rPr>
          <w:rFonts w:ascii="Times New Roman" w:hAnsi="Times New Roman"/>
          <w:color w:val="000000"/>
          <w:sz w:val="21"/>
          <w:szCs w:val="21"/>
          <w:lang w:eastAsia="pl-PL"/>
        </w:rPr>
        <w:t>Pegfilgrastimum</w:t>
      </w:r>
      <w:proofErr w:type="spellEnd"/>
      <w:r w:rsidRPr="00ED7FB7">
        <w:rPr>
          <w:rFonts w:ascii="Times New Roman" w:hAnsi="Times New Roman"/>
          <w:color w:val="000000"/>
          <w:sz w:val="21"/>
          <w:szCs w:val="21"/>
          <w:lang w:eastAsia="pl-PL"/>
        </w:rPr>
        <w:t xml:space="preserve"> został dokonany w ramach pakietu nr 50, „do kontynuacji terapii rozpoczętych preparatem </w:t>
      </w:r>
      <w:proofErr w:type="spellStart"/>
      <w:r w:rsidRPr="00ED7FB7">
        <w:rPr>
          <w:rFonts w:ascii="Times New Roman" w:hAnsi="Times New Roman"/>
          <w:color w:val="000000"/>
          <w:sz w:val="21"/>
          <w:szCs w:val="21"/>
          <w:lang w:eastAsia="pl-PL"/>
        </w:rPr>
        <w:t>Neulasta</w:t>
      </w:r>
      <w:proofErr w:type="spellEnd"/>
      <w:r w:rsidRPr="00ED7FB7">
        <w:rPr>
          <w:rFonts w:ascii="Times New Roman" w:hAnsi="Times New Roman"/>
          <w:color w:val="000000"/>
          <w:sz w:val="21"/>
          <w:szCs w:val="21"/>
          <w:lang w:eastAsia="pl-PL"/>
        </w:rPr>
        <w:t xml:space="preserve"> „</w:t>
      </w:r>
      <w:r w:rsidRPr="00ED7FB7">
        <w:rPr>
          <w:rFonts w:ascii="Times New Roman" w:hAnsi="Times New Roman"/>
          <w:color w:val="000000"/>
          <w:sz w:val="14"/>
          <w:szCs w:val="14"/>
          <w:lang w:eastAsia="pl-PL"/>
        </w:rPr>
        <w:t>3</w:t>
      </w:r>
      <w:r w:rsidRPr="00ED7FB7">
        <w:rPr>
          <w:rFonts w:ascii="Times New Roman" w:hAnsi="Times New Roman"/>
          <w:color w:val="000000"/>
          <w:sz w:val="21"/>
          <w:szCs w:val="21"/>
          <w:lang w:eastAsia="pl-PL"/>
        </w:rPr>
        <w:t xml:space="preserve">,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color w:val="000000"/>
          <w:sz w:val="21"/>
          <w:szCs w:val="21"/>
          <w:lang w:eastAsia="pl-PL"/>
        </w:rPr>
        <w:t>− przetarg nieograniczony pn. „</w:t>
      </w:r>
      <w:r w:rsidRPr="00ED7FB7">
        <w:rPr>
          <w:rFonts w:ascii="Times New Roman" w:hAnsi="Times New Roman"/>
          <w:i/>
          <w:iCs/>
          <w:color w:val="000000"/>
          <w:sz w:val="21"/>
          <w:szCs w:val="21"/>
          <w:lang w:eastAsia="pl-PL"/>
        </w:rPr>
        <w:t xml:space="preserve">dostawa różnych produktów leczniczych i wyrobów medycznych do Apteki Szpitala Uniwersyteckiego w Krakowie” </w:t>
      </w:r>
      <w:r w:rsidRPr="00ED7FB7">
        <w:rPr>
          <w:rFonts w:ascii="Times New Roman" w:hAnsi="Times New Roman"/>
          <w:color w:val="000000"/>
          <w:sz w:val="21"/>
          <w:szCs w:val="21"/>
          <w:lang w:eastAsia="pl-PL"/>
        </w:rPr>
        <w:t xml:space="preserve">prowadzony przez Szpital Uniwersytecki w Krakowie, nr referencyjny: DFP.271.120.2018.AJ, w którym zakup </w:t>
      </w:r>
      <w:proofErr w:type="spellStart"/>
      <w:r w:rsidRPr="00ED7FB7">
        <w:rPr>
          <w:rFonts w:ascii="Times New Roman" w:hAnsi="Times New Roman"/>
          <w:color w:val="000000"/>
          <w:sz w:val="21"/>
          <w:szCs w:val="21"/>
          <w:lang w:eastAsia="pl-PL"/>
        </w:rPr>
        <w:t>Filgrastimu</w:t>
      </w:r>
      <w:proofErr w:type="spellEnd"/>
      <w:r w:rsidRPr="00ED7FB7">
        <w:rPr>
          <w:rFonts w:ascii="Times New Roman" w:hAnsi="Times New Roman"/>
          <w:color w:val="000000"/>
          <w:sz w:val="21"/>
          <w:szCs w:val="21"/>
          <w:lang w:eastAsia="pl-PL"/>
        </w:rPr>
        <w:t xml:space="preserve"> został dokonany w ramach pakietu nr 22, gdzie zamawiający wymagał aby „preparat posiadający badania kliniczne potwierdzające skuteczność i bezpieczeństwo we wszystkich zarejestrowanych wskazaniach a zwłaszcza w profilaktyce gorączki </w:t>
      </w:r>
      <w:proofErr w:type="spellStart"/>
      <w:r w:rsidRPr="00ED7FB7">
        <w:rPr>
          <w:rFonts w:ascii="Times New Roman" w:hAnsi="Times New Roman"/>
          <w:color w:val="000000"/>
          <w:sz w:val="21"/>
          <w:szCs w:val="21"/>
          <w:lang w:eastAsia="pl-PL"/>
        </w:rPr>
        <w:t>neutropenicznej</w:t>
      </w:r>
      <w:proofErr w:type="spellEnd"/>
      <w:r w:rsidRPr="00ED7FB7">
        <w:rPr>
          <w:rFonts w:ascii="Times New Roman" w:hAnsi="Times New Roman"/>
          <w:color w:val="000000"/>
          <w:sz w:val="21"/>
          <w:szCs w:val="21"/>
          <w:lang w:eastAsia="pl-PL"/>
        </w:rPr>
        <w:t xml:space="preserve"> i mobilizacji komórek macierzystych szpiku u zdrowych dawców” </w:t>
      </w:r>
      <w:r w:rsidRPr="00ED7FB7">
        <w:rPr>
          <w:rFonts w:ascii="Times New Roman" w:hAnsi="Times New Roman"/>
          <w:color w:val="000000"/>
          <w:sz w:val="14"/>
          <w:szCs w:val="14"/>
          <w:lang w:eastAsia="pl-PL"/>
        </w:rPr>
        <w:t>4</w:t>
      </w:r>
      <w:r w:rsidRPr="00ED7FB7">
        <w:rPr>
          <w:rFonts w:ascii="Times New Roman" w:hAnsi="Times New Roman"/>
          <w:color w:val="000000"/>
          <w:sz w:val="21"/>
          <w:szCs w:val="21"/>
          <w:lang w:eastAsia="pl-PL"/>
        </w:rPr>
        <w:t xml:space="preserve">. </w:t>
      </w: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p>
    <w:p w:rsidR="00A13F84" w:rsidRPr="00ED7FB7" w:rsidRDefault="00A13F84" w:rsidP="00ED7FB7">
      <w:pPr>
        <w:autoSpaceDE w:val="0"/>
        <w:autoSpaceDN w:val="0"/>
        <w:adjustRightInd w:val="0"/>
        <w:spacing w:after="0" w:line="240" w:lineRule="auto"/>
        <w:rPr>
          <w:rFonts w:ascii="Times New Roman" w:hAnsi="Times New Roman"/>
          <w:color w:val="000000"/>
          <w:sz w:val="21"/>
          <w:szCs w:val="21"/>
          <w:lang w:eastAsia="pl-PL"/>
        </w:rPr>
      </w:pPr>
      <w:r w:rsidRPr="00ED7FB7">
        <w:rPr>
          <w:rFonts w:ascii="Times New Roman" w:hAnsi="Times New Roman"/>
          <w:bCs/>
          <w:color w:val="000000"/>
          <w:sz w:val="21"/>
          <w:szCs w:val="21"/>
          <w:lang w:eastAsia="pl-PL"/>
        </w:rPr>
        <w:lastRenderedPageBreak/>
        <w:t xml:space="preserve">W związku z powyższym, Wykonawca zwraca się do Zamawiającego z następującymi pytaniem: </w:t>
      </w:r>
    </w:p>
    <w:p w:rsidR="006C0800" w:rsidRPr="00ED7FB7" w:rsidRDefault="00A13F84" w:rsidP="00ED7FB7">
      <w:pPr>
        <w:autoSpaceDE w:val="0"/>
        <w:autoSpaceDN w:val="0"/>
        <w:adjustRightInd w:val="0"/>
        <w:spacing w:after="0" w:line="240" w:lineRule="auto"/>
        <w:rPr>
          <w:rFonts w:ascii="Times New Roman" w:hAnsi="Times New Roman"/>
          <w:bCs/>
          <w:color w:val="000000"/>
          <w:sz w:val="21"/>
          <w:szCs w:val="21"/>
          <w:lang w:eastAsia="pl-PL"/>
        </w:rPr>
      </w:pPr>
      <w:r w:rsidRPr="00ED7FB7">
        <w:rPr>
          <w:rFonts w:ascii="Times New Roman" w:hAnsi="Times New Roman"/>
          <w:bCs/>
          <w:color w:val="000000"/>
          <w:sz w:val="21"/>
          <w:szCs w:val="21"/>
          <w:lang w:eastAsia="pl-PL"/>
        </w:rPr>
        <w:t xml:space="preserve">Czy, w związku z pojawieniem się na rynku preparatów </w:t>
      </w:r>
      <w:proofErr w:type="spellStart"/>
      <w:r w:rsidRPr="00ED7FB7">
        <w:rPr>
          <w:rFonts w:ascii="Times New Roman" w:hAnsi="Times New Roman"/>
          <w:bCs/>
          <w:color w:val="000000"/>
          <w:sz w:val="21"/>
          <w:szCs w:val="21"/>
          <w:lang w:eastAsia="pl-PL"/>
        </w:rPr>
        <w:t>biopodobnych</w:t>
      </w:r>
      <w:proofErr w:type="spellEnd"/>
      <w:r w:rsidRPr="00ED7FB7">
        <w:rPr>
          <w:rFonts w:ascii="Times New Roman" w:hAnsi="Times New Roman"/>
          <w:bCs/>
          <w:color w:val="000000"/>
          <w:sz w:val="21"/>
          <w:szCs w:val="21"/>
          <w:lang w:eastAsia="pl-PL"/>
        </w:rPr>
        <w:t xml:space="preserve">, które nie posiadają badań potwierdzających skuteczność i wysoki profil bezpieczeństwa w przypadku zamiany leku u pacjentów, którzy rozpoczęli terapię lekiem referencyjnym, Zamawiający wydzieli część ilości tego pakietu w celu zabezpieczenia pacjentów kontynuujących terapię lekiem </w:t>
      </w:r>
      <w:proofErr w:type="spellStart"/>
      <w:r w:rsidRPr="00ED7FB7">
        <w:rPr>
          <w:rFonts w:ascii="Times New Roman" w:hAnsi="Times New Roman"/>
          <w:bCs/>
          <w:color w:val="000000"/>
          <w:sz w:val="21"/>
          <w:szCs w:val="21"/>
          <w:lang w:eastAsia="pl-PL"/>
        </w:rPr>
        <w:t>Neulasta</w:t>
      </w:r>
      <w:proofErr w:type="spellEnd"/>
      <w:r w:rsidRPr="00ED7FB7">
        <w:rPr>
          <w:rFonts w:ascii="Times New Roman" w:hAnsi="Times New Roman"/>
          <w:bCs/>
          <w:color w:val="000000"/>
          <w:sz w:val="21"/>
          <w:szCs w:val="21"/>
          <w:lang w:eastAsia="pl-PL"/>
        </w:rPr>
        <w:t xml:space="preserve"> 6mg/0,6 ml x 1 </w:t>
      </w:r>
      <w:proofErr w:type="spellStart"/>
      <w:r w:rsidRPr="00ED7FB7">
        <w:rPr>
          <w:rFonts w:ascii="Times New Roman" w:hAnsi="Times New Roman"/>
          <w:bCs/>
          <w:color w:val="000000"/>
          <w:sz w:val="21"/>
          <w:szCs w:val="21"/>
          <w:lang w:eastAsia="pl-PL"/>
        </w:rPr>
        <w:t>amp.-strz</w:t>
      </w:r>
      <w:proofErr w:type="spellEnd"/>
      <w:r w:rsidRPr="00ED7FB7">
        <w:rPr>
          <w:rFonts w:ascii="Times New Roman" w:hAnsi="Times New Roman"/>
          <w:bCs/>
          <w:color w:val="000000"/>
          <w:sz w:val="21"/>
          <w:szCs w:val="21"/>
          <w:lang w:eastAsia="pl-PL"/>
        </w:rPr>
        <w:t>.?</w:t>
      </w:r>
    </w:p>
    <w:p w:rsidR="00A13F84" w:rsidRPr="00ED7FB7" w:rsidRDefault="00A13F84" w:rsidP="00ED7FB7">
      <w:pPr>
        <w:autoSpaceDE w:val="0"/>
        <w:autoSpaceDN w:val="0"/>
        <w:adjustRightInd w:val="0"/>
        <w:spacing w:after="0" w:line="240" w:lineRule="auto"/>
        <w:rPr>
          <w:rFonts w:ascii="Times New Roman" w:hAnsi="Times New Roman"/>
          <w:color w:val="000000"/>
          <w:sz w:val="24"/>
          <w:szCs w:val="24"/>
          <w:lang w:eastAsia="pl-PL"/>
        </w:rPr>
      </w:pPr>
    </w:p>
    <w:p w:rsidR="00A13F84" w:rsidRPr="00ED7FB7" w:rsidRDefault="00A13F84" w:rsidP="00ED7FB7">
      <w:pPr>
        <w:autoSpaceDE w:val="0"/>
        <w:autoSpaceDN w:val="0"/>
        <w:adjustRightInd w:val="0"/>
        <w:spacing w:after="0" w:line="240" w:lineRule="auto"/>
        <w:rPr>
          <w:rFonts w:asciiTheme="minorHAnsi" w:hAnsiTheme="minorHAnsi"/>
          <w:color w:val="000000"/>
          <w:sz w:val="13"/>
          <w:szCs w:val="13"/>
          <w:lang w:eastAsia="pl-PL"/>
        </w:rPr>
      </w:pPr>
      <w:r w:rsidRPr="00ED7FB7">
        <w:rPr>
          <w:rFonts w:asciiTheme="minorHAnsi" w:hAnsiTheme="minorHAnsi"/>
          <w:color w:val="000000"/>
          <w:sz w:val="13"/>
          <w:szCs w:val="13"/>
          <w:lang w:eastAsia="pl-PL"/>
        </w:rPr>
        <w:t xml:space="preserve">1. Art. 2 ust. 2 uchwały Nadzwyczajnego II Krajowego Zjazdu Lekarzy z 14 grudnia 1991 w sprawie Kodeksu Etyki Lekarskiej ze zm.  </w:t>
      </w:r>
    </w:p>
    <w:p w:rsidR="00A13F84" w:rsidRPr="00ED7FB7" w:rsidRDefault="00A13F84" w:rsidP="00ED7FB7">
      <w:pPr>
        <w:autoSpaceDE w:val="0"/>
        <w:autoSpaceDN w:val="0"/>
        <w:adjustRightInd w:val="0"/>
        <w:spacing w:after="0" w:line="240" w:lineRule="auto"/>
        <w:rPr>
          <w:rFonts w:asciiTheme="minorHAnsi" w:hAnsiTheme="minorHAnsi"/>
          <w:color w:val="000000"/>
          <w:sz w:val="13"/>
          <w:szCs w:val="13"/>
          <w:lang w:eastAsia="pl-PL"/>
        </w:rPr>
      </w:pPr>
      <w:r w:rsidRPr="00ED7FB7">
        <w:rPr>
          <w:rFonts w:asciiTheme="minorHAnsi" w:hAnsiTheme="minorHAnsi"/>
          <w:color w:val="000000"/>
          <w:sz w:val="13"/>
          <w:szCs w:val="13"/>
          <w:lang w:eastAsia="pl-PL"/>
        </w:rPr>
        <w:t xml:space="preserve">2 Zob. art. 36 ust. 1 </w:t>
      </w:r>
      <w:proofErr w:type="spellStart"/>
      <w:r w:rsidRPr="00ED7FB7">
        <w:rPr>
          <w:rFonts w:asciiTheme="minorHAnsi" w:hAnsiTheme="minorHAnsi"/>
          <w:color w:val="000000"/>
          <w:sz w:val="13"/>
          <w:szCs w:val="13"/>
          <w:lang w:eastAsia="pl-PL"/>
        </w:rPr>
        <w:t>pkt</w:t>
      </w:r>
      <w:proofErr w:type="spellEnd"/>
      <w:r w:rsidRPr="00ED7FB7">
        <w:rPr>
          <w:rFonts w:asciiTheme="minorHAnsi" w:hAnsiTheme="minorHAnsi"/>
          <w:color w:val="000000"/>
          <w:sz w:val="13"/>
          <w:szCs w:val="13"/>
          <w:lang w:eastAsia="pl-PL"/>
        </w:rPr>
        <w:t xml:space="preserve"> 15 PZP. </w:t>
      </w:r>
    </w:p>
    <w:p w:rsidR="00A13F84" w:rsidRPr="00ED7FB7" w:rsidRDefault="00A13F84" w:rsidP="00ED7FB7">
      <w:pPr>
        <w:autoSpaceDE w:val="0"/>
        <w:autoSpaceDN w:val="0"/>
        <w:adjustRightInd w:val="0"/>
        <w:spacing w:after="0" w:line="240" w:lineRule="auto"/>
        <w:rPr>
          <w:rFonts w:asciiTheme="minorHAnsi" w:hAnsiTheme="minorHAnsi" w:cs="Calibri"/>
          <w:color w:val="000000"/>
          <w:sz w:val="13"/>
          <w:szCs w:val="13"/>
          <w:lang w:eastAsia="pl-PL"/>
        </w:rPr>
      </w:pPr>
      <w:r w:rsidRPr="00ED7FB7">
        <w:rPr>
          <w:rFonts w:asciiTheme="minorHAnsi" w:hAnsiTheme="minorHAnsi" w:cs="Calibri"/>
          <w:color w:val="000000"/>
          <w:sz w:val="13"/>
          <w:szCs w:val="13"/>
          <w:lang w:eastAsia="pl-PL"/>
        </w:rPr>
        <w:t xml:space="preserve">3 SIWZ dostępna jest pod adresem https://platformazakupowa.pl/transakcja/189235 </w:t>
      </w:r>
    </w:p>
    <w:p w:rsidR="00A13F84" w:rsidRPr="00ED7FB7" w:rsidRDefault="00A13F84" w:rsidP="00ED7FB7">
      <w:pPr>
        <w:autoSpaceDE w:val="0"/>
        <w:autoSpaceDN w:val="0"/>
        <w:adjustRightInd w:val="0"/>
        <w:spacing w:after="0" w:line="240" w:lineRule="auto"/>
        <w:rPr>
          <w:rFonts w:asciiTheme="minorHAnsi" w:hAnsiTheme="minorHAnsi"/>
          <w:color w:val="000000"/>
          <w:sz w:val="13"/>
          <w:szCs w:val="13"/>
          <w:lang w:eastAsia="pl-PL"/>
        </w:rPr>
      </w:pPr>
      <w:r w:rsidRPr="00ED7FB7">
        <w:rPr>
          <w:rFonts w:asciiTheme="minorHAnsi" w:hAnsiTheme="minorHAnsi" w:cs="Calibri"/>
          <w:color w:val="000000"/>
          <w:sz w:val="13"/>
          <w:szCs w:val="13"/>
          <w:lang w:eastAsia="pl-PL"/>
        </w:rPr>
        <w:t xml:space="preserve">4 SIWZ dostępna jest pod adresem http://www.su.krakow.pl/dostawa-roznych-produktow-leczniczych-i-wyrobow-medycznych-do-apteki-szpitala-uniwersyteckiego-w-krakowie-dfp-271-120-2018-aj </w:t>
      </w:r>
      <w:r w:rsidRPr="00ED7FB7">
        <w:rPr>
          <w:rFonts w:asciiTheme="minorHAnsi" w:hAnsiTheme="minorHAnsi"/>
          <w:color w:val="000000"/>
          <w:sz w:val="13"/>
          <w:szCs w:val="13"/>
          <w:lang w:eastAsia="pl-PL"/>
        </w:rPr>
        <w:t xml:space="preserve"> </w:t>
      </w:r>
    </w:p>
    <w:p w:rsidR="00A13F84" w:rsidRPr="00ED7FB7" w:rsidRDefault="00A13F84" w:rsidP="00ED7FB7">
      <w:pPr>
        <w:autoSpaceDE w:val="0"/>
        <w:autoSpaceDN w:val="0"/>
        <w:adjustRightInd w:val="0"/>
        <w:spacing w:after="0" w:line="240" w:lineRule="auto"/>
        <w:rPr>
          <w:rFonts w:asciiTheme="minorHAnsi" w:hAnsiTheme="minorHAnsi"/>
          <w:color w:val="000000"/>
          <w:sz w:val="13"/>
          <w:szCs w:val="13"/>
          <w:lang w:eastAsia="pl-PL"/>
        </w:rPr>
      </w:pPr>
    </w:p>
    <w:p w:rsidR="00A13F84" w:rsidRDefault="00A13F84"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0D3FAC" w:rsidRDefault="000D3FAC" w:rsidP="00ED7FB7">
      <w:pPr>
        <w:spacing w:after="0" w:line="240" w:lineRule="auto"/>
        <w:rPr>
          <w:rFonts w:ascii="Verdana" w:hAnsi="Verdana"/>
          <w:b/>
          <w:sz w:val="20"/>
          <w:szCs w:val="20"/>
          <w:lang w:eastAsia="pl-PL"/>
        </w:rPr>
      </w:pPr>
    </w:p>
    <w:p w:rsidR="000D3FAC" w:rsidRDefault="000D3FAC" w:rsidP="00ED7FB7">
      <w:pPr>
        <w:spacing w:after="0" w:line="240" w:lineRule="auto"/>
        <w:rPr>
          <w:rFonts w:ascii="Verdana" w:hAnsi="Verdana"/>
          <w:b/>
          <w:sz w:val="20"/>
          <w:szCs w:val="20"/>
          <w:lang w:eastAsia="pl-PL"/>
        </w:rPr>
      </w:pPr>
      <w:r>
        <w:rPr>
          <w:rFonts w:ascii="Verdana" w:hAnsi="Verdana"/>
          <w:b/>
          <w:sz w:val="20"/>
          <w:szCs w:val="20"/>
          <w:lang w:eastAsia="pl-PL"/>
        </w:rPr>
        <w:t>Pytania  7:</w:t>
      </w:r>
    </w:p>
    <w:p w:rsidR="000D3FAC" w:rsidRPr="000D3FAC" w:rsidRDefault="000D3FAC" w:rsidP="00ED7FB7">
      <w:pPr>
        <w:autoSpaceDE w:val="0"/>
        <w:autoSpaceDN w:val="0"/>
        <w:adjustRightInd w:val="0"/>
        <w:spacing w:after="0" w:line="240" w:lineRule="auto"/>
        <w:rPr>
          <w:rFonts w:ascii="Times New Roman" w:hAnsi="Times New Roman"/>
          <w:color w:val="000000"/>
          <w:lang w:eastAsia="pl-PL"/>
        </w:rPr>
      </w:pPr>
      <w:r w:rsidRPr="000D3FAC">
        <w:rPr>
          <w:rFonts w:ascii="Times New Roman" w:hAnsi="Times New Roman"/>
          <w:color w:val="000000"/>
          <w:sz w:val="24"/>
          <w:szCs w:val="24"/>
          <w:lang w:eastAsia="pl-PL"/>
        </w:rPr>
        <w:t xml:space="preserve"> </w:t>
      </w:r>
      <w:r w:rsidRPr="000D3FAC">
        <w:rPr>
          <w:rFonts w:ascii="Times New Roman" w:hAnsi="Times New Roman"/>
          <w:color w:val="000000"/>
          <w:lang w:eastAsia="pl-PL"/>
        </w:rPr>
        <w:t xml:space="preserve">W związku z faktem, iż Wielkopolskie Centrum Pulmonologii i Torakochirurgii zajmuje się leczeniem pacjentów z rakiem płuca, </w:t>
      </w:r>
    </w:p>
    <w:p w:rsidR="000D3FAC" w:rsidRPr="000D3FAC" w:rsidRDefault="000D3FAC" w:rsidP="00ED7FB7">
      <w:pPr>
        <w:spacing w:after="0" w:line="240" w:lineRule="auto"/>
        <w:rPr>
          <w:rFonts w:ascii="Verdana" w:hAnsi="Verdana"/>
          <w:sz w:val="20"/>
          <w:szCs w:val="20"/>
          <w:lang w:eastAsia="pl-PL"/>
        </w:rPr>
      </w:pPr>
      <w:r w:rsidRPr="000D3FAC">
        <w:rPr>
          <w:rFonts w:ascii="Times New Roman" w:hAnsi="Times New Roman"/>
          <w:bCs/>
          <w:color w:val="000000"/>
          <w:lang w:eastAsia="pl-PL"/>
        </w:rPr>
        <w:t xml:space="preserve">Czy Zamawiający wymaga dostarczenie w ramach pakietu nr 47 badań klinicznych potwierdzających bezpieczeństwo i skuteczność stosowania </w:t>
      </w:r>
      <w:proofErr w:type="spellStart"/>
      <w:r w:rsidRPr="000D3FAC">
        <w:rPr>
          <w:rFonts w:ascii="Times New Roman" w:hAnsi="Times New Roman"/>
          <w:bCs/>
          <w:color w:val="000000"/>
          <w:lang w:eastAsia="pl-PL"/>
        </w:rPr>
        <w:t>pegfilgrastymu</w:t>
      </w:r>
      <w:proofErr w:type="spellEnd"/>
      <w:r w:rsidRPr="000D3FAC">
        <w:rPr>
          <w:rFonts w:ascii="Times New Roman" w:hAnsi="Times New Roman"/>
          <w:bCs/>
          <w:color w:val="000000"/>
          <w:lang w:eastAsia="pl-PL"/>
        </w:rPr>
        <w:t xml:space="preserve"> w w/w rodzajach nowotworów?</w:t>
      </w:r>
    </w:p>
    <w:p w:rsidR="000D3FAC" w:rsidRDefault="000D3FAC"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sidR="00CA2826">
        <w:rPr>
          <w:rFonts w:ascii="Verdana" w:hAnsi="Verdana" w:cs="Arial"/>
          <w:b/>
          <w:sz w:val="20"/>
          <w:szCs w:val="20"/>
        </w:rPr>
        <w:t>Zamawiający pozostawia zapisy SIWZ bez zmian.</w:t>
      </w:r>
    </w:p>
    <w:p w:rsidR="000D3FAC" w:rsidRDefault="000D3FAC" w:rsidP="00ED7FB7">
      <w:pPr>
        <w:spacing w:after="0" w:line="240" w:lineRule="auto"/>
        <w:rPr>
          <w:rFonts w:ascii="Verdana" w:hAnsi="Verdana"/>
          <w:b/>
          <w:sz w:val="20"/>
          <w:szCs w:val="20"/>
          <w:lang w:eastAsia="pl-PL"/>
        </w:rPr>
      </w:pPr>
    </w:p>
    <w:p w:rsidR="000D3FAC" w:rsidRDefault="000D3FAC" w:rsidP="00ED7FB7">
      <w:pPr>
        <w:spacing w:after="0" w:line="240" w:lineRule="auto"/>
        <w:rPr>
          <w:rFonts w:ascii="Verdana" w:hAnsi="Verdana"/>
          <w:b/>
          <w:sz w:val="20"/>
          <w:szCs w:val="20"/>
          <w:lang w:eastAsia="pl-PL"/>
        </w:rPr>
      </w:pPr>
      <w:r>
        <w:rPr>
          <w:rFonts w:ascii="Verdana" w:hAnsi="Verdana"/>
          <w:b/>
          <w:sz w:val="20"/>
          <w:szCs w:val="20"/>
          <w:lang w:eastAsia="pl-PL"/>
        </w:rPr>
        <w:t>Pytania  8:</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Czy w przypadku, jeżeli żądany przez Zamawiającego lek nie jest już produkowany lub jest tymczasowy brak produkcji a nie ma innego leku równoważnego, którym można by go zastąpić należy wycenić ten lek podając ostatnią cenę sprzedaży oraz uwagę o jego braku czy nie wyceniać go wcale?</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1 pozycja 30, czy Zamawiający dopuści zamianę postaci z fiolki na opakowania typu </w:t>
      </w:r>
      <w:proofErr w:type="spellStart"/>
      <w:r w:rsidRPr="000D3FAC">
        <w:rPr>
          <w:rFonts w:ascii="Arial" w:hAnsi="Arial" w:cs="Arial"/>
          <w:sz w:val="20"/>
          <w:szCs w:val="20"/>
        </w:rPr>
        <w:t>KabiPac</w:t>
      </w:r>
      <w:proofErr w:type="spellEnd"/>
      <w:r w:rsidRPr="000D3FAC">
        <w:rPr>
          <w:rFonts w:ascii="Arial" w:hAnsi="Arial" w:cs="Arial"/>
          <w:sz w:val="20"/>
          <w:szCs w:val="20"/>
        </w:rPr>
        <w:t xml:space="preserve">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1 pozycja 37, czy Zamawiający dopuści zamianę postaci z kapsułki na tabletkę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2 pozycja 1 i 2, czy Zamawiający dopuści zamianę postaci z fiolki na opakowania typu </w:t>
      </w:r>
      <w:proofErr w:type="spellStart"/>
      <w:r w:rsidRPr="000D3FAC">
        <w:rPr>
          <w:rFonts w:ascii="Arial" w:hAnsi="Arial" w:cs="Arial"/>
          <w:sz w:val="20"/>
          <w:szCs w:val="20"/>
        </w:rPr>
        <w:t>KabiPac</w:t>
      </w:r>
      <w:proofErr w:type="spellEnd"/>
      <w:r w:rsidRPr="000D3FAC">
        <w:rPr>
          <w:rFonts w:ascii="Arial" w:hAnsi="Arial" w:cs="Arial"/>
          <w:sz w:val="20"/>
          <w:szCs w:val="20"/>
        </w:rPr>
        <w:t xml:space="preserve">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59 pozycja 11, czy Zamawiający dopuści wycenę </w:t>
      </w:r>
      <w:proofErr w:type="spellStart"/>
      <w:r w:rsidRPr="000D3FAC">
        <w:rPr>
          <w:rFonts w:ascii="Arial" w:hAnsi="Arial" w:cs="Arial"/>
          <w:sz w:val="20"/>
          <w:szCs w:val="20"/>
        </w:rPr>
        <w:t>Pudroderm</w:t>
      </w:r>
      <w:proofErr w:type="spellEnd"/>
      <w:r w:rsidRPr="000D3FAC">
        <w:rPr>
          <w:rFonts w:ascii="Arial" w:hAnsi="Arial" w:cs="Arial"/>
          <w:sz w:val="20"/>
          <w:szCs w:val="20"/>
        </w:rPr>
        <w:t xml:space="preserve">, </w:t>
      </w:r>
      <w:proofErr w:type="spellStart"/>
      <w:r w:rsidRPr="000D3FAC">
        <w:rPr>
          <w:rFonts w:ascii="Arial" w:hAnsi="Arial" w:cs="Arial"/>
          <w:sz w:val="20"/>
          <w:szCs w:val="20"/>
        </w:rPr>
        <w:t>zaw.na</w:t>
      </w:r>
      <w:proofErr w:type="spellEnd"/>
      <w:r w:rsidRPr="000D3FAC">
        <w:rPr>
          <w:rFonts w:ascii="Arial" w:hAnsi="Arial" w:cs="Arial"/>
          <w:sz w:val="20"/>
          <w:szCs w:val="20"/>
        </w:rPr>
        <w:t xml:space="preserve"> skórę, 140 g w ilości 5 </w:t>
      </w:r>
      <w:proofErr w:type="spellStart"/>
      <w:r w:rsidRPr="000D3FAC">
        <w:rPr>
          <w:rFonts w:ascii="Arial" w:hAnsi="Arial" w:cs="Arial"/>
          <w:sz w:val="20"/>
          <w:szCs w:val="20"/>
        </w:rPr>
        <w:t>op</w:t>
      </w:r>
      <w:proofErr w:type="spellEnd"/>
      <w:r w:rsidRPr="000D3FAC">
        <w:rPr>
          <w:rFonts w:ascii="Arial" w:hAnsi="Arial" w:cs="Arial"/>
          <w:sz w:val="20"/>
          <w:szCs w:val="20"/>
        </w:rPr>
        <w:t>?</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59 pozycja 36, czy Zamawiający dopuści wycenę </w:t>
      </w:r>
      <w:proofErr w:type="spellStart"/>
      <w:r w:rsidRPr="000D3FAC">
        <w:rPr>
          <w:rFonts w:ascii="Arial" w:hAnsi="Arial" w:cs="Arial"/>
          <w:sz w:val="20"/>
          <w:szCs w:val="20"/>
        </w:rPr>
        <w:t>Ascofer</w:t>
      </w:r>
      <w:proofErr w:type="spellEnd"/>
      <w:r w:rsidRPr="000D3FAC">
        <w:rPr>
          <w:rFonts w:ascii="Arial" w:hAnsi="Arial" w:cs="Arial"/>
          <w:sz w:val="20"/>
          <w:szCs w:val="20"/>
        </w:rPr>
        <w:t xml:space="preserve">, </w:t>
      </w:r>
      <w:proofErr w:type="spellStart"/>
      <w:r w:rsidRPr="000D3FAC">
        <w:rPr>
          <w:rFonts w:ascii="Arial" w:hAnsi="Arial" w:cs="Arial"/>
          <w:sz w:val="20"/>
          <w:szCs w:val="20"/>
        </w:rPr>
        <w:t>tabl.powl</w:t>
      </w:r>
      <w:proofErr w:type="spellEnd"/>
      <w:r w:rsidRPr="000D3FAC">
        <w:rPr>
          <w:rFonts w:ascii="Arial" w:hAnsi="Arial" w:cs="Arial"/>
          <w:sz w:val="20"/>
          <w:szCs w:val="20"/>
        </w:rPr>
        <w:t>., (</w:t>
      </w:r>
      <w:proofErr w:type="spellStart"/>
      <w:r w:rsidRPr="000D3FAC">
        <w:rPr>
          <w:rFonts w:ascii="Arial" w:hAnsi="Arial" w:cs="Arial"/>
          <w:sz w:val="20"/>
          <w:szCs w:val="20"/>
        </w:rPr>
        <w:t>Espefa</w:t>
      </w:r>
      <w:proofErr w:type="spellEnd"/>
      <w:r w:rsidRPr="000D3FAC">
        <w:rPr>
          <w:rFonts w:ascii="Arial" w:hAnsi="Arial" w:cs="Arial"/>
          <w:sz w:val="20"/>
          <w:szCs w:val="20"/>
        </w:rPr>
        <w:t xml:space="preserve">), 50 </w:t>
      </w:r>
      <w:proofErr w:type="spellStart"/>
      <w:r w:rsidRPr="000D3FAC">
        <w:rPr>
          <w:rFonts w:ascii="Arial" w:hAnsi="Arial" w:cs="Arial"/>
          <w:sz w:val="20"/>
          <w:szCs w:val="20"/>
        </w:rPr>
        <w:t>szt</w:t>
      </w:r>
      <w:proofErr w:type="spellEnd"/>
      <w:r w:rsidRPr="000D3FAC">
        <w:rPr>
          <w:rFonts w:ascii="Arial" w:hAnsi="Arial" w:cs="Arial"/>
          <w:sz w:val="20"/>
          <w:szCs w:val="20"/>
        </w:rPr>
        <w:t xml:space="preserve">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59  pozycja 45, czy Zamawiający dopuści wycenę </w:t>
      </w:r>
      <w:proofErr w:type="spellStart"/>
      <w:r w:rsidRPr="000D3FAC">
        <w:rPr>
          <w:rFonts w:ascii="Arial" w:hAnsi="Arial" w:cs="Arial"/>
          <w:sz w:val="20"/>
          <w:szCs w:val="20"/>
        </w:rPr>
        <w:t>Biotyk</w:t>
      </w:r>
      <w:proofErr w:type="spellEnd"/>
      <w:r w:rsidRPr="000D3FAC">
        <w:rPr>
          <w:rFonts w:ascii="Arial" w:hAnsi="Arial" w:cs="Arial"/>
          <w:sz w:val="20"/>
          <w:szCs w:val="20"/>
        </w:rPr>
        <w:t xml:space="preserve">, kaps., (ICN Polfa </w:t>
      </w:r>
      <w:proofErr w:type="spellStart"/>
      <w:r w:rsidRPr="000D3FAC">
        <w:rPr>
          <w:rFonts w:ascii="Arial" w:hAnsi="Arial" w:cs="Arial"/>
          <w:sz w:val="20"/>
          <w:szCs w:val="20"/>
        </w:rPr>
        <w:t>Rz</w:t>
      </w:r>
      <w:proofErr w:type="spellEnd"/>
      <w:r w:rsidRPr="000D3FAC">
        <w:rPr>
          <w:rFonts w:ascii="Arial" w:hAnsi="Arial" w:cs="Arial"/>
          <w:sz w:val="20"/>
          <w:szCs w:val="20"/>
        </w:rPr>
        <w:t xml:space="preserve">), 30 </w:t>
      </w:r>
      <w:proofErr w:type="spellStart"/>
      <w:r w:rsidRPr="000D3FAC">
        <w:rPr>
          <w:rFonts w:ascii="Arial" w:hAnsi="Arial" w:cs="Arial"/>
          <w:sz w:val="20"/>
          <w:szCs w:val="20"/>
        </w:rPr>
        <w:t>szt</w:t>
      </w:r>
      <w:proofErr w:type="spellEnd"/>
      <w:r w:rsidRPr="000D3FAC">
        <w:rPr>
          <w:rFonts w:ascii="Arial" w:hAnsi="Arial" w:cs="Arial"/>
          <w:sz w:val="20"/>
          <w:szCs w:val="20"/>
        </w:rPr>
        <w:t>?</w:t>
      </w:r>
    </w:p>
    <w:p w:rsidR="000D3FAC" w:rsidRPr="000D3FAC" w:rsidRDefault="000D3FAC" w:rsidP="00ED7FB7">
      <w:pPr>
        <w:widowControl w:val="0"/>
        <w:numPr>
          <w:ilvl w:val="0"/>
          <w:numId w:val="8"/>
        </w:numPr>
        <w:shd w:val="clear" w:color="auto" w:fill="FFFFFF"/>
        <w:suppressAutoHyphens/>
        <w:spacing w:after="0" w:line="240" w:lineRule="auto"/>
        <w:rPr>
          <w:rFonts w:ascii="Arial" w:eastAsia="Times New Roman" w:hAnsi="Arial" w:cs="Arial"/>
          <w:sz w:val="20"/>
          <w:lang w:eastAsia="pl-PL"/>
        </w:rPr>
      </w:pPr>
      <w:r w:rsidRPr="000D3FAC">
        <w:rPr>
          <w:rFonts w:ascii="Arial" w:eastAsia="Times New Roman" w:hAnsi="Arial" w:cs="Arial"/>
          <w:color w:val="000000"/>
          <w:sz w:val="20"/>
          <w:lang w:eastAsia="pl-PL"/>
        </w:rPr>
        <w:t xml:space="preserve">Czy zamawiający wymaga aby w pakiecie nr 59 pozycja 50 był preparat </w:t>
      </w:r>
      <w:proofErr w:type="spellStart"/>
      <w:r w:rsidRPr="000D3FAC">
        <w:rPr>
          <w:rFonts w:ascii="Arial" w:eastAsia="Times New Roman" w:hAnsi="Arial" w:cs="Arial"/>
          <w:color w:val="000000"/>
          <w:sz w:val="20"/>
          <w:lang w:eastAsia="pl-PL"/>
        </w:rPr>
        <w:t>Makrogol</w:t>
      </w:r>
      <w:proofErr w:type="spellEnd"/>
      <w:r w:rsidRPr="000D3FAC">
        <w:rPr>
          <w:rFonts w:ascii="Arial" w:eastAsia="Times New Roman" w:hAnsi="Arial" w:cs="Arial"/>
          <w:color w:val="000000"/>
          <w:sz w:val="20"/>
          <w:lang w:eastAsia="pl-PL"/>
        </w:rPr>
        <w:t xml:space="preserve"> 74 g x 48 saszetek (PEG 4 litry - </w:t>
      </w:r>
      <w:proofErr w:type="spellStart"/>
      <w:r w:rsidRPr="000D3FAC">
        <w:rPr>
          <w:rFonts w:ascii="Arial" w:eastAsia="Times New Roman" w:hAnsi="Arial" w:cs="Arial"/>
          <w:color w:val="000000"/>
          <w:sz w:val="20"/>
          <w:lang w:eastAsia="pl-PL"/>
        </w:rPr>
        <w:t>Fortrans</w:t>
      </w:r>
      <w:proofErr w:type="spellEnd"/>
      <w:r w:rsidRPr="000D3FAC">
        <w:rPr>
          <w:rFonts w:ascii="Arial" w:eastAsia="Times New Roman" w:hAnsi="Arial" w:cs="Arial"/>
          <w:color w:val="000000"/>
          <w:sz w:val="20"/>
          <w:lang w:eastAsia="pl-PL"/>
        </w:rPr>
        <w:t xml:space="preserve">) zgodny z SIWZ, który jest rekomendowany przez Europejskie Towarzystwo Endoskopii Przewodu Pokarmowego (ESGE) w rutynowym przygotowaniu do </w:t>
      </w:r>
      <w:proofErr w:type="spellStart"/>
      <w:r w:rsidRPr="000D3FAC">
        <w:rPr>
          <w:rFonts w:ascii="Arial" w:eastAsia="Times New Roman" w:hAnsi="Arial" w:cs="Arial"/>
          <w:color w:val="000000"/>
          <w:sz w:val="20"/>
          <w:lang w:eastAsia="pl-PL"/>
        </w:rPr>
        <w:t>kolonoskopii</w:t>
      </w:r>
      <w:proofErr w:type="spellEnd"/>
      <w:r w:rsidRPr="000D3FAC">
        <w:rPr>
          <w:rFonts w:ascii="Arial" w:eastAsia="Times New Roman" w:hAnsi="Arial" w:cs="Arial"/>
          <w:color w:val="000000"/>
          <w:sz w:val="20"/>
          <w:lang w:eastAsia="pl-PL"/>
        </w:rPr>
        <w:t>. którego oferta cenowa jest korzystna dla zamawiającego?</w:t>
      </w:r>
    </w:p>
    <w:p w:rsidR="000D3FAC" w:rsidRPr="000D3FAC" w:rsidRDefault="000D3FAC" w:rsidP="00ED7FB7">
      <w:pPr>
        <w:widowControl w:val="0"/>
        <w:numPr>
          <w:ilvl w:val="0"/>
          <w:numId w:val="8"/>
        </w:numPr>
        <w:shd w:val="clear" w:color="auto" w:fill="FFFFFF"/>
        <w:suppressAutoHyphens/>
        <w:spacing w:after="0" w:line="240" w:lineRule="auto"/>
        <w:rPr>
          <w:rFonts w:ascii="Arial" w:eastAsia="Times New Roman" w:hAnsi="Arial" w:cs="Arial"/>
          <w:sz w:val="20"/>
          <w:lang w:eastAsia="pl-PL"/>
        </w:rPr>
      </w:pPr>
      <w:r w:rsidRPr="000D3FAC">
        <w:rPr>
          <w:rFonts w:ascii="Arial" w:eastAsia="Times New Roman" w:hAnsi="Arial" w:cs="Arial"/>
          <w:color w:val="000000"/>
          <w:sz w:val="20"/>
          <w:lang w:eastAsia="pl-PL"/>
        </w:rPr>
        <w:t xml:space="preserve">Czy zamawiający wymaga aby w pakiecie nr 59 pozycja 50. był preparat </w:t>
      </w:r>
      <w:proofErr w:type="spellStart"/>
      <w:r w:rsidRPr="000D3FAC">
        <w:rPr>
          <w:rFonts w:ascii="Arial" w:eastAsia="Times New Roman" w:hAnsi="Arial" w:cs="Arial"/>
          <w:color w:val="000000"/>
          <w:sz w:val="20"/>
          <w:lang w:eastAsia="pl-PL"/>
        </w:rPr>
        <w:t>Makrogol</w:t>
      </w:r>
      <w:proofErr w:type="spellEnd"/>
      <w:r w:rsidRPr="000D3FAC">
        <w:rPr>
          <w:rFonts w:ascii="Arial" w:eastAsia="Times New Roman" w:hAnsi="Arial" w:cs="Arial"/>
          <w:color w:val="000000"/>
          <w:sz w:val="20"/>
          <w:lang w:eastAsia="pl-PL"/>
        </w:rPr>
        <w:t xml:space="preserve"> (74 g x 48 saszetek, PEG 4 litry - </w:t>
      </w:r>
      <w:proofErr w:type="spellStart"/>
      <w:r w:rsidRPr="000D3FAC">
        <w:rPr>
          <w:rFonts w:ascii="Arial" w:eastAsia="Times New Roman" w:hAnsi="Arial" w:cs="Arial"/>
          <w:color w:val="000000"/>
          <w:sz w:val="20"/>
          <w:lang w:eastAsia="pl-PL"/>
        </w:rPr>
        <w:t>Fortrans</w:t>
      </w:r>
      <w:proofErr w:type="spellEnd"/>
      <w:r w:rsidRPr="000D3FAC">
        <w:rPr>
          <w:rFonts w:ascii="Arial" w:eastAsia="Times New Roman" w:hAnsi="Arial" w:cs="Arial"/>
          <w:color w:val="000000"/>
          <w:sz w:val="20"/>
          <w:lang w:eastAsia="pl-PL"/>
        </w:rPr>
        <w:t>) o składzie chemicznym zgodnym z SIWZ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59 pozycja 70, czy Zamawiający dopuści wycenę Enema, </w:t>
      </w:r>
      <w:proofErr w:type="spellStart"/>
      <w:r w:rsidRPr="000D3FAC">
        <w:rPr>
          <w:rFonts w:ascii="Arial" w:hAnsi="Arial" w:cs="Arial"/>
          <w:sz w:val="20"/>
          <w:szCs w:val="20"/>
        </w:rPr>
        <w:t>roztw.doodbytn</w:t>
      </w:r>
      <w:proofErr w:type="spellEnd"/>
      <w:r w:rsidRPr="000D3FAC">
        <w:rPr>
          <w:rFonts w:ascii="Arial" w:hAnsi="Arial" w:cs="Arial"/>
          <w:sz w:val="20"/>
          <w:szCs w:val="20"/>
        </w:rPr>
        <w:t>, 150 ml, 50 butelek w ilości 4 opakowania?</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60 pozycja 124, czy Zamawiający dopuści wycenę </w:t>
      </w:r>
      <w:r w:rsidRPr="000D3FAC">
        <w:rPr>
          <w:rFonts w:ascii="Arial" w:hAnsi="Arial" w:cs="Arial"/>
          <w:sz w:val="20"/>
          <w:szCs w:val="20"/>
        </w:rPr>
        <w:br/>
        <w:t xml:space="preserve">BerodualN,(50mcg+21mcg)/daw.inh.,aer.inh,200dawek,10ml FENOTEROLUM+IPRATROPII BROMIDUM I W-D 0,05+0,02 MG W DAWCE ( brak dawki </w:t>
      </w:r>
      <w:proofErr w:type="spellStart"/>
      <w:r w:rsidRPr="000D3FAC">
        <w:rPr>
          <w:rFonts w:ascii="Arial" w:hAnsi="Arial" w:cs="Arial"/>
          <w:sz w:val="20"/>
          <w:szCs w:val="20"/>
        </w:rPr>
        <w:t>Ipratropium</w:t>
      </w:r>
      <w:proofErr w:type="spellEnd"/>
      <w:r w:rsidRPr="000D3FAC">
        <w:rPr>
          <w:rFonts w:ascii="Arial" w:hAnsi="Arial" w:cs="Arial"/>
          <w:sz w:val="20"/>
          <w:szCs w:val="20"/>
        </w:rPr>
        <w:t xml:space="preserve"> 20µg + </w:t>
      </w:r>
      <w:proofErr w:type="spellStart"/>
      <w:r w:rsidRPr="000D3FAC">
        <w:rPr>
          <w:rFonts w:ascii="Arial" w:hAnsi="Arial" w:cs="Arial"/>
          <w:sz w:val="20"/>
          <w:szCs w:val="20"/>
        </w:rPr>
        <w:t>Fenoterol</w:t>
      </w:r>
      <w:proofErr w:type="spellEnd"/>
      <w:r w:rsidRPr="000D3FAC">
        <w:rPr>
          <w:rFonts w:ascii="Arial" w:hAnsi="Arial" w:cs="Arial"/>
          <w:sz w:val="20"/>
          <w:szCs w:val="20"/>
        </w:rPr>
        <w:t xml:space="preserve"> 50µg/dawkę, </w:t>
      </w:r>
      <w:proofErr w:type="spellStart"/>
      <w:r w:rsidRPr="000D3FAC">
        <w:rPr>
          <w:rFonts w:ascii="Arial" w:hAnsi="Arial" w:cs="Arial"/>
          <w:sz w:val="20"/>
          <w:szCs w:val="20"/>
        </w:rPr>
        <w:t>aer</w:t>
      </w:r>
      <w:proofErr w:type="spellEnd"/>
      <w:r w:rsidRPr="000D3FAC">
        <w:rPr>
          <w:rFonts w:ascii="Arial" w:hAnsi="Arial" w:cs="Arial"/>
          <w:sz w:val="20"/>
          <w:szCs w:val="20"/>
        </w:rPr>
        <w:t>.)?</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60 pozycja 176, czy Zamawiający dopuści wycenę Pamifos-30,30mg,inj,2fiol(</w:t>
      </w:r>
      <w:proofErr w:type="spellStart"/>
      <w:r w:rsidRPr="000D3FAC">
        <w:rPr>
          <w:rFonts w:ascii="Arial" w:hAnsi="Arial" w:cs="Arial"/>
          <w:sz w:val="20"/>
          <w:szCs w:val="20"/>
        </w:rPr>
        <w:t>s.subst</w:t>
      </w:r>
      <w:proofErr w:type="spellEnd"/>
      <w:r w:rsidRPr="000D3FAC">
        <w:rPr>
          <w:rFonts w:ascii="Arial" w:hAnsi="Arial" w:cs="Arial"/>
          <w:sz w:val="20"/>
          <w:szCs w:val="20"/>
        </w:rPr>
        <w:t>)+2amprozp(</w:t>
      </w:r>
      <w:proofErr w:type="spellStart"/>
      <w:r w:rsidRPr="000D3FAC">
        <w:rPr>
          <w:rFonts w:ascii="Arial" w:hAnsi="Arial" w:cs="Arial"/>
          <w:sz w:val="20"/>
          <w:szCs w:val="20"/>
        </w:rPr>
        <w:t>szkl</w:t>
      </w:r>
      <w:proofErr w:type="spellEnd"/>
      <w:r w:rsidRPr="000D3FAC">
        <w:rPr>
          <w:rFonts w:ascii="Arial" w:hAnsi="Arial" w:cs="Arial"/>
          <w:sz w:val="20"/>
          <w:szCs w:val="20"/>
        </w:rPr>
        <w:t xml:space="preserve">) ACIDUM PAMIDRONICUM P 1-D 0,03 G w </w:t>
      </w:r>
      <w:r w:rsidRPr="000D3FAC">
        <w:rPr>
          <w:rFonts w:ascii="Arial" w:hAnsi="Arial" w:cs="Arial"/>
          <w:sz w:val="20"/>
          <w:szCs w:val="20"/>
        </w:rPr>
        <w:lastRenderedPageBreak/>
        <w:t>ilości 4 opakowani?</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60 pozycja 177, czy zamawiający dopuści wycenę Pamifos-60 60mg,inj,1fiol(</w:t>
      </w:r>
      <w:proofErr w:type="spellStart"/>
      <w:r w:rsidRPr="000D3FAC">
        <w:rPr>
          <w:rFonts w:ascii="Arial" w:hAnsi="Arial" w:cs="Arial"/>
          <w:sz w:val="20"/>
          <w:szCs w:val="20"/>
        </w:rPr>
        <w:t>s.subst</w:t>
      </w:r>
      <w:proofErr w:type="spellEnd"/>
      <w:r w:rsidRPr="000D3FAC">
        <w:rPr>
          <w:rFonts w:ascii="Arial" w:hAnsi="Arial" w:cs="Arial"/>
          <w:sz w:val="20"/>
          <w:szCs w:val="20"/>
        </w:rPr>
        <w:t>)+1amprozp(</w:t>
      </w:r>
      <w:proofErr w:type="spellStart"/>
      <w:r w:rsidRPr="000D3FAC">
        <w:rPr>
          <w:rFonts w:ascii="Arial" w:hAnsi="Arial" w:cs="Arial"/>
          <w:sz w:val="20"/>
          <w:szCs w:val="20"/>
        </w:rPr>
        <w:t>szkl</w:t>
      </w:r>
      <w:proofErr w:type="spellEnd"/>
      <w:r w:rsidRPr="000D3FAC">
        <w:rPr>
          <w:rFonts w:ascii="Arial" w:hAnsi="Arial" w:cs="Arial"/>
          <w:sz w:val="20"/>
          <w:szCs w:val="20"/>
        </w:rPr>
        <w:t>) ACIDUM PAMIDRONICUM P 1-D 0,06 G w ilości 10 opakowań?</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60 pozycja 178, czy Zamawiający dopuści wycenę Pamifos-90,90mg,inj.1fiol(</w:t>
      </w:r>
      <w:proofErr w:type="spellStart"/>
      <w:r w:rsidRPr="000D3FAC">
        <w:rPr>
          <w:rFonts w:ascii="Arial" w:hAnsi="Arial" w:cs="Arial"/>
          <w:sz w:val="20"/>
          <w:szCs w:val="20"/>
        </w:rPr>
        <w:t>s.subst</w:t>
      </w:r>
      <w:proofErr w:type="spellEnd"/>
      <w:r w:rsidRPr="000D3FAC">
        <w:rPr>
          <w:rFonts w:ascii="Arial" w:hAnsi="Arial" w:cs="Arial"/>
          <w:sz w:val="20"/>
          <w:szCs w:val="20"/>
        </w:rPr>
        <w:t>)+1amprozp(</w:t>
      </w:r>
      <w:proofErr w:type="spellStart"/>
      <w:r w:rsidRPr="000D3FAC">
        <w:rPr>
          <w:rFonts w:ascii="Arial" w:hAnsi="Arial" w:cs="Arial"/>
          <w:sz w:val="20"/>
          <w:szCs w:val="20"/>
        </w:rPr>
        <w:t>szkl</w:t>
      </w:r>
      <w:proofErr w:type="spellEnd"/>
      <w:r w:rsidRPr="000D3FAC">
        <w:rPr>
          <w:rFonts w:ascii="Arial" w:hAnsi="Arial" w:cs="Arial"/>
          <w:sz w:val="20"/>
          <w:szCs w:val="20"/>
        </w:rPr>
        <w:t>) ACIDUM PAMIDRONICUM P 1-D 0,09 G w ilości 20 opakowań?</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60 pozycja 179, czy Zamawiający dopuści </w:t>
      </w:r>
      <w:proofErr w:type="spellStart"/>
      <w:r w:rsidRPr="000D3FAC">
        <w:rPr>
          <w:rFonts w:ascii="Arial" w:hAnsi="Arial" w:cs="Arial"/>
          <w:sz w:val="20"/>
          <w:szCs w:val="20"/>
        </w:rPr>
        <w:t>Pangrol</w:t>
      </w:r>
      <w:proofErr w:type="spellEnd"/>
      <w:r w:rsidRPr="000D3FAC">
        <w:rPr>
          <w:rFonts w:ascii="Arial" w:hAnsi="Arial" w:cs="Arial"/>
          <w:sz w:val="20"/>
          <w:szCs w:val="20"/>
        </w:rPr>
        <w:t xml:space="preserve"> 25 000, 25 000 j., kaps., 20szt </w:t>
      </w:r>
      <w:proofErr w:type="spellStart"/>
      <w:r w:rsidRPr="000D3FAC">
        <w:rPr>
          <w:rFonts w:ascii="Arial" w:hAnsi="Arial" w:cs="Arial"/>
          <w:sz w:val="20"/>
          <w:szCs w:val="20"/>
        </w:rPr>
        <w:t>AMYLASUM+LIPASUM+PROTEASUM</w:t>
      </w:r>
      <w:proofErr w:type="spellEnd"/>
      <w:r w:rsidRPr="000D3FAC">
        <w:rPr>
          <w:rFonts w:ascii="Arial" w:hAnsi="Arial" w:cs="Arial"/>
          <w:sz w:val="20"/>
          <w:szCs w:val="20"/>
        </w:rPr>
        <w:t xml:space="preserve"> O 1-D 25000 J.M. LIPAZY EN w ilości 75 opakowań?</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 60 pozycja 180, czy Zamawiający dopuści wycenę </w:t>
      </w:r>
      <w:proofErr w:type="spellStart"/>
      <w:r w:rsidRPr="000D3FAC">
        <w:rPr>
          <w:rFonts w:ascii="Arial" w:hAnsi="Arial" w:cs="Arial"/>
          <w:sz w:val="20"/>
          <w:szCs w:val="20"/>
        </w:rPr>
        <w:t>Pangrol</w:t>
      </w:r>
      <w:proofErr w:type="spellEnd"/>
      <w:r w:rsidRPr="000D3FAC">
        <w:rPr>
          <w:rFonts w:ascii="Arial" w:hAnsi="Arial" w:cs="Arial"/>
          <w:sz w:val="20"/>
          <w:szCs w:val="20"/>
        </w:rPr>
        <w:t xml:space="preserve"> 10 000, 10 000 j., kaps., 50 </w:t>
      </w:r>
      <w:proofErr w:type="spellStart"/>
      <w:r w:rsidRPr="000D3FAC">
        <w:rPr>
          <w:rFonts w:ascii="Arial" w:hAnsi="Arial" w:cs="Arial"/>
          <w:sz w:val="20"/>
          <w:szCs w:val="20"/>
        </w:rPr>
        <w:t>szt</w:t>
      </w:r>
      <w:proofErr w:type="spellEnd"/>
      <w:r w:rsidRPr="000D3FAC">
        <w:rPr>
          <w:rFonts w:ascii="Arial" w:hAnsi="Arial" w:cs="Arial"/>
          <w:sz w:val="20"/>
          <w:szCs w:val="20"/>
        </w:rPr>
        <w:t xml:space="preserve">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67 pozycja 1,2,3, czy Zamawiający dopuści zamianę postaci z ampułki na pojemnik?</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77 pozycja  3,4,5,6,7- czy zamawiający wydzieli pozycje z pakietu?</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Dotyczy pakiet 104 pozycja 43, 44,45, czy Zamawiający dopuści zamianę postaci z tabletki na tabletkę o przedłużonym uwalnianiu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8 poz. 1. Czy Zamawiający wymaga, aby zgodnie z treścią Charakterystyki Produktu  Leczniczego, zaoferowany produkt </w:t>
      </w:r>
      <w:proofErr w:type="spellStart"/>
      <w:r w:rsidRPr="000D3FAC">
        <w:rPr>
          <w:rFonts w:ascii="Arial" w:hAnsi="Arial" w:cs="Arial"/>
          <w:sz w:val="20"/>
          <w:szCs w:val="20"/>
        </w:rPr>
        <w:t>Imipenem</w:t>
      </w:r>
      <w:proofErr w:type="spellEnd"/>
      <w:r w:rsidRPr="000D3FAC">
        <w:rPr>
          <w:rFonts w:ascii="Arial" w:hAnsi="Arial" w:cs="Arial"/>
          <w:sz w:val="20"/>
          <w:szCs w:val="20"/>
        </w:rPr>
        <w:t xml:space="preserve"> </w:t>
      </w:r>
      <w:proofErr w:type="spellStart"/>
      <w:r w:rsidRPr="000D3FAC">
        <w:rPr>
          <w:rFonts w:ascii="Arial" w:hAnsi="Arial" w:cs="Arial"/>
          <w:sz w:val="20"/>
          <w:szCs w:val="20"/>
        </w:rPr>
        <w:t>Cilastatin</w:t>
      </w:r>
      <w:proofErr w:type="spellEnd"/>
      <w:r w:rsidRPr="000D3FAC">
        <w:rPr>
          <w:rFonts w:ascii="Arial" w:hAnsi="Arial" w:cs="Arial"/>
          <w:sz w:val="20"/>
          <w:szCs w:val="20"/>
        </w:rPr>
        <w:t xml:space="preserve"> posiadał stabilność  po rozpuszczeniu do 2 godzin, co pozwoli na bezpieczne przeprowadzenie  infuzji dożylnej?</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 Dotyczy pakietu nr 8 poz. 1Czy Zamawiający wymaga, aby zgodnie z treścią Charakterystyki Produktu  Leczniczego, zaoferowany produkt </w:t>
      </w:r>
      <w:proofErr w:type="spellStart"/>
      <w:r w:rsidRPr="000D3FAC">
        <w:rPr>
          <w:rFonts w:ascii="Arial" w:hAnsi="Arial" w:cs="Arial"/>
          <w:sz w:val="20"/>
          <w:szCs w:val="20"/>
        </w:rPr>
        <w:t>Imipenem</w:t>
      </w:r>
      <w:proofErr w:type="spellEnd"/>
      <w:r w:rsidRPr="000D3FAC">
        <w:rPr>
          <w:rFonts w:ascii="Arial" w:hAnsi="Arial" w:cs="Arial"/>
          <w:sz w:val="20"/>
          <w:szCs w:val="20"/>
        </w:rPr>
        <w:t xml:space="preserve"> </w:t>
      </w:r>
      <w:proofErr w:type="spellStart"/>
      <w:r w:rsidRPr="000D3FAC">
        <w:rPr>
          <w:rFonts w:ascii="Arial" w:hAnsi="Arial" w:cs="Arial"/>
          <w:sz w:val="20"/>
          <w:szCs w:val="20"/>
        </w:rPr>
        <w:t>Cilastatin</w:t>
      </w:r>
      <w:proofErr w:type="spellEnd"/>
      <w:r w:rsidRPr="000D3FAC">
        <w:rPr>
          <w:rFonts w:ascii="Arial" w:hAnsi="Arial" w:cs="Arial"/>
          <w:sz w:val="20"/>
          <w:szCs w:val="20"/>
        </w:rPr>
        <w:t xml:space="preserve"> posiadał możliwość  przygotowania roztworu do infuzji z wykorzystaniem 0,9% roztworu chlorku  sodu oraz/i z wykorzystaniem 5% roztworu glukozy?</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20 poz. 1. Czy Zamawiający wymaga, aby zgodnie z treścią Charakterystyki Produktu  Leczniczego, preparat </w:t>
      </w:r>
      <w:proofErr w:type="spellStart"/>
      <w:r w:rsidRPr="000D3FAC">
        <w:rPr>
          <w:rFonts w:ascii="Arial" w:hAnsi="Arial" w:cs="Arial"/>
          <w:sz w:val="20"/>
          <w:szCs w:val="20"/>
        </w:rPr>
        <w:t>Meropenem</w:t>
      </w:r>
      <w:proofErr w:type="spellEnd"/>
      <w:r w:rsidRPr="000D3FAC">
        <w:rPr>
          <w:rFonts w:ascii="Arial" w:hAnsi="Arial" w:cs="Arial"/>
          <w:sz w:val="20"/>
          <w:szCs w:val="20"/>
        </w:rPr>
        <w:t xml:space="preserve"> posiadał stabilność gotowego roztworu do  infuzji rozpuszczonego w </w:t>
      </w:r>
      <w:proofErr w:type="spellStart"/>
      <w:r w:rsidRPr="000D3FAC">
        <w:rPr>
          <w:rFonts w:ascii="Arial" w:hAnsi="Arial" w:cs="Arial"/>
          <w:sz w:val="20"/>
          <w:szCs w:val="20"/>
        </w:rPr>
        <w:t>NaCl</w:t>
      </w:r>
      <w:proofErr w:type="spellEnd"/>
      <w:r w:rsidRPr="000D3FAC">
        <w:rPr>
          <w:rFonts w:ascii="Arial" w:hAnsi="Arial" w:cs="Arial"/>
          <w:sz w:val="20"/>
          <w:szCs w:val="20"/>
        </w:rPr>
        <w:t xml:space="preserve"> 0,9%: 3 godziny w temperaturze 15-25°C i 24 godziny w temperaturze 2-8°C, a w przypadku rozpuszczenia produktu w glukozie 5%: 1 </w:t>
      </w:r>
      <w:proofErr w:type="spellStart"/>
      <w:r w:rsidRPr="000D3FAC">
        <w:rPr>
          <w:rFonts w:ascii="Arial" w:hAnsi="Arial" w:cs="Arial"/>
          <w:sz w:val="20"/>
          <w:szCs w:val="20"/>
        </w:rPr>
        <w:t>godz</w:t>
      </w:r>
      <w:proofErr w:type="spellEnd"/>
      <w:r w:rsidRPr="000D3FAC">
        <w:rPr>
          <w:rFonts w:ascii="Arial" w:hAnsi="Arial" w:cs="Arial"/>
          <w:sz w:val="20"/>
          <w:szCs w:val="20"/>
        </w:rPr>
        <w:t xml:space="preserve"> w temp. 25ºC i 8 godzin w temp.  2-8ºC, co pozwoli na bezpieczne przeprowadzenie infuzji dożylnej?</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20 poz. 2. Czy Zamawiający wymaga, aby zgodnie z treścią Charakterystyki Produktu  Leczniczego, preparat </w:t>
      </w:r>
      <w:proofErr w:type="spellStart"/>
      <w:r w:rsidRPr="000D3FAC">
        <w:rPr>
          <w:rFonts w:ascii="Arial" w:hAnsi="Arial" w:cs="Arial"/>
          <w:sz w:val="20"/>
          <w:szCs w:val="20"/>
        </w:rPr>
        <w:t>Meropenem</w:t>
      </w:r>
      <w:proofErr w:type="spellEnd"/>
      <w:r w:rsidRPr="000D3FAC">
        <w:rPr>
          <w:rFonts w:ascii="Arial" w:hAnsi="Arial" w:cs="Arial"/>
          <w:sz w:val="20"/>
          <w:szCs w:val="20"/>
        </w:rPr>
        <w:t xml:space="preserve"> posiadał stabilność gotowego roztworu do  infuzji rozpuszczonego w </w:t>
      </w:r>
      <w:proofErr w:type="spellStart"/>
      <w:r w:rsidRPr="000D3FAC">
        <w:rPr>
          <w:rFonts w:ascii="Arial" w:hAnsi="Arial" w:cs="Arial"/>
          <w:sz w:val="20"/>
          <w:szCs w:val="20"/>
        </w:rPr>
        <w:t>NaCl</w:t>
      </w:r>
      <w:proofErr w:type="spellEnd"/>
      <w:r w:rsidRPr="000D3FAC">
        <w:rPr>
          <w:rFonts w:ascii="Arial" w:hAnsi="Arial" w:cs="Arial"/>
          <w:sz w:val="20"/>
          <w:szCs w:val="20"/>
        </w:rPr>
        <w:t xml:space="preserve"> 0,9%: 3 godziny w temperaturze 15-25°C i 24 godziny w temperaturze 2-8°C, a w przypadku rozpuszczenia produktu w glukozie 5%: 1 </w:t>
      </w:r>
      <w:proofErr w:type="spellStart"/>
      <w:r w:rsidRPr="000D3FAC">
        <w:rPr>
          <w:rFonts w:ascii="Arial" w:hAnsi="Arial" w:cs="Arial"/>
          <w:sz w:val="20"/>
          <w:szCs w:val="20"/>
        </w:rPr>
        <w:t>godz</w:t>
      </w:r>
      <w:proofErr w:type="spellEnd"/>
      <w:r w:rsidRPr="000D3FAC">
        <w:rPr>
          <w:rFonts w:ascii="Arial" w:hAnsi="Arial" w:cs="Arial"/>
          <w:sz w:val="20"/>
          <w:szCs w:val="20"/>
        </w:rPr>
        <w:t xml:space="preserve"> w temp. 25ºC i 8 godzin w temp.  2-8ºC, co pozwoli na bezpieczne przeprowadzenie infuzji dożylnej?</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54 poz. 1. Czy Zamawiający wymaga, aby lek </w:t>
      </w:r>
      <w:proofErr w:type="spellStart"/>
      <w:r w:rsidRPr="000D3FAC">
        <w:rPr>
          <w:rFonts w:ascii="Arial" w:hAnsi="Arial" w:cs="Arial"/>
          <w:sz w:val="20"/>
          <w:szCs w:val="20"/>
        </w:rPr>
        <w:t>Infliximab</w:t>
      </w:r>
      <w:proofErr w:type="spellEnd"/>
      <w:r w:rsidRPr="000D3FAC">
        <w:rPr>
          <w:rFonts w:ascii="Arial" w:hAnsi="Arial" w:cs="Arial"/>
          <w:sz w:val="20"/>
          <w:szCs w:val="20"/>
        </w:rPr>
        <w:t xml:space="preserve"> był zarejestrowany i refundowany w programach lekowych B.32 (Leczenie Choroby Leśniowskiego </w:t>
      </w:r>
      <w:proofErr w:type="spellStart"/>
      <w:r w:rsidRPr="000D3FAC">
        <w:rPr>
          <w:rFonts w:ascii="Arial" w:hAnsi="Arial" w:cs="Arial"/>
          <w:sz w:val="20"/>
          <w:szCs w:val="20"/>
        </w:rPr>
        <w:t>Crohna</w:t>
      </w:r>
      <w:proofErr w:type="spellEnd"/>
      <w:r w:rsidRPr="000D3FAC">
        <w:rPr>
          <w:rFonts w:ascii="Arial" w:hAnsi="Arial" w:cs="Arial"/>
          <w:sz w:val="20"/>
          <w:szCs w:val="20"/>
        </w:rPr>
        <w:t>) oraz B.55 (Leczenie pacjentów z Wrzodziejącym Zapaleniem Jelita Grubego)?</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59 poz. 30. Czy Zamawiający wyrazi zgodę  na zaoferowanie preparatu równoważnego </w:t>
      </w:r>
      <w:proofErr w:type="spellStart"/>
      <w:r w:rsidRPr="000D3FAC">
        <w:rPr>
          <w:rFonts w:ascii="Arial" w:hAnsi="Arial" w:cs="Arial"/>
          <w:sz w:val="20"/>
          <w:szCs w:val="20"/>
        </w:rPr>
        <w:t>Simeticonum</w:t>
      </w:r>
      <w:proofErr w:type="spellEnd"/>
      <w:r w:rsidRPr="000D3FAC">
        <w:rPr>
          <w:rFonts w:ascii="Arial" w:hAnsi="Arial" w:cs="Arial"/>
          <w:sz w:val="20"/>
          <w:szCs w:val="20"/>
        </w:rPr>
        <w:t xml:space="preserve"> 0,04g opakowanie 100 </w:t>
      </w:r>
      <w:proofErr w:type="spellStart"/>
      <w:r w:rsidRPr="000D3FAC">
        <w:rPr>
          <w:rFonts w:ascii="Arial" w:hAnsi="Arial" w:cs="Arial"/>
          <w:sz w:val="20"/>
          <w:szCs w:val="20"/>
        </w:rPr>
        <w:t>kps</w:t>
      </w:r>
      <w:proofErr w:type="spellEnd"/>
      <w:r w:rsidRPr="000D3FAC">
        <w:rPr>
          <w:rFonts w:ascii="Arial" w:hAnsi="Arial" w:cs="Arial"/>
          <w:sz w:val="20"/>
          <w:szCs w:val="20"/>
        </w:rPr>
        <w:t xml:space="preserve">., posiadające takie same właściwości  i zastosowanie co </w:t>
      </w:r>
      <w:proofErr w:type="spellStart"/>
      <w:r w:rsidRPr="000D3FAC">
        <w:rPr>
          <w:rFonts w:ascii="Arial" w:hAnsi="Arial" w:cs="Arial"/>
          <w:sz w:val="20"/>
          <w:szCs w:val="20"/>
        </w:rPr>
        <w:t>Dimeticonum</w:t>
      </w:r>
      <w:proofErr w:type="spellEnd"/>
      <w:r w:rsidRPr="000D3FAC">
        <w:rPr>
          <w:rFonts w:ascii="Arial" w:hAnsi="Arial" w:cs="Arial"/>
          <w:sz w:val="20"/>
          <w:szCs w:val="20"/>
        </w:rPr>
        <w:t xml:space="preserve"> 0,05 x 100 </w:t>
      </w:r>
      <w:proofErr w:type="spellStart"/>
      <w:r w:rsidRPr="000D3FAC">
        <w:rPr>
          <w:rFonts w:ascii="Arial" w:hAnsi="Arial" w:cs="Arial"/>
          <w:sz w:val="20"/>
          <w:szCs w:val="20"/>
        </w:rPr>
        <w:t>tbl</w:t>
      </w:r>
      <w:proofErr w:type="spellEnd"/>
      <w:r w:rsidRPr="000D3FAC">
        <w:rPr>
          <w:rFonts w:ascii="Arial" w:hAnsi="Arial" w:cs="Arial"/>
          <w:sz w:val="20"/>
          <w:szCs w:val="20"/>
        </w:rPr>
        <w:t>.?</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59 poz. 9. Czy Zamawiający dopuści wycenę preparatu równoważnego </w:t>
      </w:r>
      <w:proofErr w:type="spellStart"/>
      <w:r w:rsidRPr="000D3FAC">
        <w:rPr>
          <w:rFonts w:ascii="Arial" w:hAnsi="Arial" w:cs="Arial"/>
          <w:sz w:val="20"/>
          <w:szCs w:val="20"/>
        </w:rPr>
        <w:t>ZinoDr</w:t>
      </w:r>
      <w:proofErr w:type="spellEnd"/>
      <w:r w:rsidRPr="000D3FAC">
        <w:rPr>
          <w:rFonts w:ascii="Arial" w:hAnsi="Arial" w:cs="Arial"/>
          <w:sz w:val="20"/>
          <w:szCs w:val="20"/>
        </w:rPr>
        <w:t>?</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60 poz. 46. Czy Zamawiający dopuści wycenę preparatu Budiair,200mcg/d, aer.,wziewny,200 dawek+ </w:t>
      </w:r>
      <w:proofErr w:type="spellStart"/>
      <w:r w:rsidRPr="000D3FAC">
        <w:rPr>
          <w:rFonts w:ascii="Arial" w:hAnsi="Arial" w:cs="Arial"/>
          <w:sz w:val="20"/>
          <w:szCs w:val="20"/>
        </w:rPr>
        <w:t>kom.inh</w:t>
      </w:r>
      <w:proofErr w:type="spellEnd"/>
      <w:r w:rsidRPr="000D3FAC">
        <w:rPr>
          <w:rFonts w:ascii="Arial" w:hAnsi="Arial" w:cs="Arial"/>
          <w:sz w:val="20"/>
          <w:szCs w:val="20"/>
        </w:rPr>
        <w:t>.?</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60 poz. 102. Proszę o dopuszczenie wyceny preparatu </w:t>
      </w:r>
      <w:proofErr w:type="spellStart"/>
      <w:r w:rsidRPr="000D3FAC">
        <w:rPr>
          <w:rFonts w:ascii="Arial" w:hAnsi="Arial" w:cs="Arial"/>
          <w:sz w:val="20"/>
          <w:szCs w:val="20"/>
        </w:rPr>
        <w:t>Lioton</w:t>
      </w:r>
      <w:proofErr w:type="spellEnd"/>
      <w:r w:rsidRPr="000D3FAC">
        <w:rPr>
          <w:rFonts w:ascii="Arial" w:hAnsi="Arial" w:cs="Arial"/>
          <w:sz w:val="20"/>
          <w:szCs w:val="20"/>
        </w:rPr>
        <w:t xml:space="preserve"> 1000, 8,5 mg/g (1000 j.m.)/g, żel, 30 g, który ma to samo działanie. Pozwoli to na złożenie korzystniejszej oferty w ilości 147 opakowań?</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lastRenderedPageBreak/>
        <w:t xml:space="preserve">Dotyczy pakietu nr 60 poz. 83. Czy Zamawiający dopuści wycenę preparatu </w:t>
      </w:r>
      <w:proofErr w:type="spellStart"/>
      <w:r w:rsidRPr="000D3FAC">
        <w:rPr>
          <w:rFonts w:ascii="Arial" w:hAnsi="Arial" w:cs="Arial"/>
          <w:sz w:val="20"/>
          <w:szCs w:val="20"/>
        </w:rPr>
        <w:t>Fostex</w:t>
      </w:r>
      <w:proofErr w:type="spellEnd"/>
      <w:r w:rsidRPr="000D3FAC">
        <w:rPr>
          <w:rFonts w:ascii="Arial" w:hAnsi="Arial" w:cs="Arial"/>
          <w:sz w:val="20"/>
          <w:szCs w:val="20"/>
        </w:rPr>
        <w:t>, (100 mcg+6mcg/dawkę),</w:t>
      </w:r>
      <w:proofErr w:type="spellStart"/>
      <w:r w:rsidRPr="000D3FAC">
        <w:rPr>
          <w:rFonts w:ascii="Arial" w:hAnsi="Arial" w:cs="Arial"/>
          <w:sz w:val="20"/>
          <w:szCs w:val="20"/>
        </w:rPr>
        <w:t>aer.inhal</w:t>
      </w:r>
      <w:proofErr w:type="spellEnd"/>
      <w:r w:rsidRPr="000D3FAC">
        <w:rPr>
          <w:rFonts w:ascii="Arial" w:hAnsi="Arial" w:cs="Arial"/>
          <w:sz w:val="20"/>
          <w:szCs w:val="20"/>
        </w:rPr>
        <w:t>., 180 dawek w ilości 7 opakowań?</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60 poz. 29. Czy Zamawiający dopuści wycenę preparatu </w:t>
      </w:r>
      <w:proofErr w:type="spellStart"/>
      <w:r w:rsidRPr="000D3FAC">
        <w:rPr>
          <w:rFonts w:ascii="Arial" w:hAnsi="Arial" w:cs="Arial"/>
          <w:sz w:val="20"/>
          <w:szCs w:val="20"/>
        </w:rPr>
        <w:t>Fostex</w:t>
      </w:r>
      <w:proofErr w:type="spellEnd"/>
      <w:r w:rsidRPr="000D3FAC">
        <w:rPr>
          <w:rFonts w:ascii="Arial" w:hAnsi="Arial" w:cs="Arial"/>
          <w:sz w:val="20"/>
          <w:szCs w:val="20"/>
        </w:rPr>
        <w:t>, (100 mcg+6mcg/dawkę),</w:t>
      </w:r>
      <w:proofErr w:type="spellStart"/>
      <w:r w:rsidRPr="000D3FAC">
        <w:rPr>
          <w:rFonts w:ascii="Arial" w:hAnsi="Arial" w:cs="Arial"/>
          <w:sz w:val="20"/>
          <w:szCs w:val="20"/>
        </w:rPr>
        <w:t>aer.inhal</w:t>
      </w:r>
      <w:proofErr w:type="spellEnd"/>
      <w:r w:rsidRPr="000D3FAC">
        <w:rPr>
          <w:rFonts w:ascii="Arial" w:hAnsi="Arial" w:cs="Arial"/>
          <w:sz w:val="20"/>
          <w:szCs w:val="20"/>
        </w:rPr>
        <w:t>., 180 dawek w ilości 3 opakowania ?</w:t>
      </w:r>
    </w:p>
    <w:p w:rsidR="000D3FAC" w:rsidRP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60 poz. 30. Czy Zamawiający dopuści wycenę preparatu </w:t>
      </w:r>
      <w:proofErr w:type="spellStart"/>
      <w:r w:rsidRPr="000D3FAC">
        <w:rPr>
          <w:rFonts w:ascii="Arial" w:hAnsi="Arial" w:cs="Arial"/>
          <w:sz w:val="20"/>
          <w:szCs w:val="20"/>
        </w:rPr>
        <w:t>Fostex</w:t>
      </w:r>
      <w:proofErr w:type="spellEnd"/>
      <w:r w:rsidRPr="000D3FAC">
        <w:rPr>
          <w:rFonts w:ascii="Arial" w:hAnsi="Arial" w:cs="Arial"/>
          <w:sz w:val="20"/>
          <w:szCs w:val="20"/>
        </w:rPr>
        <w:t>, (100 mcg+6mcg/dawkę),</w:t>
      </w:r>
      <w:proofErr w:type="spellStart"/>
      <w:r w:rsidRPr="000D3FAC">
        <w:rPr>
          <w:rFonts w:ascii="Arial" w:hAnsi="Arial" w:cs="Arial"/>
          <w:sz w:val="20"/>
          <w:szCs w:val="20"/>
        </w:rPr>
        <w:t>aer.inhal</w:t>
      </w:r>
      <w:proofErr w:type="spellEnd"/>
      <w:r w:rsidRPr="000D3FAC">
        <w:rPr>
          <w:rFonts w:ascii="Arial" w:hAnsi="Arial" w:cs="Arial"/>
          <w:sz w:val="20"/>
          <w:szCs w:val="20"/>
        </w:rPr>
        <w:t>., 180 dawek w ilości 2?</w:t>
      </w:r>
    </w:p>
    <w:p w:rsidR="000D3FAC" w:rsidRDefault="000D3FAC" w:rsidP="00ED7FB7">
      <w:pPr>
        <w:widowControl w:val="0"/>
        <w:numPr>
          <w:ilvl w:val="0"/>
          <w:numId w:val="8"/>
        </w:numPr>
        <w:suppressAutoHyphens/>
        <w:spacing w:after="0" w:line="240" w:lineRule="auto"/>
        <w:ind w:right="567"/>
        <w:jc w:val="both"/>
        <w:rPr>
          <w:rFonts w:ascii="Arial" w:hAnsi="Arial" w:cs="Arial"/>
          <w:sz w:val="20"/>
          <w:szCs w:val="20"/>
        </w:rPr>
      </w:pPr>
      <w:r w:rsidRPr="000D3FAC">
        <w:rPr>
          <w:rFonts w:ascii="Arial" w:hAnsi="Arial" w:cs="Arial"/>
          <w:sz w:val="20"/>
          <w:szCs w:val="20"/>
        </w:rPr>
        <w:t xml:space="preserve">Dotyczy pakietu nr 104 poz. 34. Czy Zamawiający wyrazi zgodę na wycenę preparatu: </w:t>
      </w:r>
      <w:proofErr w:type="spellStart"/>
      <w:r w:rsidRPr="000D3FAC">
        <w:rPr>
          <w:rFonts w:ascii="Arial" w:hAnsi="Arial" w:cs="Arial"/>
          <w:sz w:val="20"/>
          <w:szCs w:val="20"/>
        </w:rPr>
        <w:t>Methadoni</w:t>
      </w:r>
      <w:proofErr w:type="spellEnd"/>
      <w:r w:rsidRPr="000D3FAC">
        <w:rPr>
          <w:rFonts w:ascii="Arial" w:hAnsi="Arial" w:cs="Arial"/>
          <w:sz w:val="20"/>
          <w:szCs w:val="20"/>
        </w:rPr>
        <w:t xml:space="preserve"> </w:t>
      </w:r>
      <w:proofErr w:type="spellStart"/>
      <w:r w:rsidRPr="000D3FAC">
        <w:rPr>
          <w:rFonts w:ascii="Arial" w:hAnsi="Arial" w:cs="Arial"/>
          <w:sz w:val="20"/>
          <w:szCs w:val="20"/>
        </w:rPr>
        <w:t>hydrochloridum</w:t>
      </w:r>
      <w:proofErr w:type="spellEnd"/>
      <w:r w:rsidRPr="000D3FAC">
        <w:rPr>
          <w:rFonts w:ascii="Arial" w:hAnsi="Arial" w:cs="Arial"/>
          <w:sz w:val="20"/>
          <w:szCs w:val="20"/>
        </w:rPr>
        <w:t xml:space="preserve">, 10 mg/ml, but. 1000 ml, koncentrat do sporządzania roztworu doustnego, którego stabilność po otwarciu w temp. poniżej 25 stopni C wynosi 90 dni, a po sporządzeniu roztworu 14 dni, ze wskazaniem do substytucyjnego podtrzymującego leczenia uzależnienia od </w:t>
      </w:r>
      <w:proofErr w:type="spellStart"/>
      <w:r w:rsidRPr="000D3FAC">
        <w:rPr>
          <w:rFonts w:ascii="Arial" w:hAnsi="Arial" w:cs="Arial"/>
          <w:sz w:val="20"/>
          <w:szCs w:val="20"/>
        </w:rPr>
        <w:t>opioidów</w:t>
      </w:r>
      <w:proofErr w:type="spellEnd"/>
      <w:r w:rsidRPr="000D3FAC">
        <w:rPr>
          <w:rFonts w:ascii="Arial" w:hAnsi="Arial" w:cs="Arial"/>
          <w:sz w:val="20"/>
          <w:szCs w:val="20"/>
        </w:rPr>
        <w:t xml:space="preserve"> u dorosłych w połączeniu z odpowiednią opieką medyczną, społeczną i psychospołeczną? W przypadku zgody, proszę o podanie ilości opakowań, jaką należy wycenić.. jeśli zamawiający wyrazi zgodę proszę o podanie ilości.</w:t>
      </w:r>
    </w:p>
    <w:p w:rsidR="000D3FAC" w:rsidRDefault="000D3FAC" w:rsidP="00ED7FB7">
      <w:pPr>
        <w:widowControl w:val="0"/>
        <w:suppressAutoHyphens/>
        <w:spacing w:after="0" w:line="240" w:lineRule="auto"/>
        <w:ind w:right="567"/>
        <w:jc w:val="both"/>
        <w:rPr>
          <w:rFonts w:ascii="Verdana" w:hAnsi="Verdana" w:cs="Tahoma"/>
          <w:b/>
          <w:sz w:val="20"/>
          <w:szCs w:val="20"/>
        </w:rPr>
      </w:pPr>
      <w:r w:rsidRPr="000D3FAC">
        <w:rPr>
          <w:rFonts w:ascii="Verdana" w:hAnsi="Verdana" w:cs="Tahoma"/>
          <w:b/>
          <w:sz w:val="20"/>
          <w:szCs w:val="20"/>
        </w:rPr>
        <w:t>Odpowied</w:t>
      </w:r>
      <w:r>
        <w:rPr>
          <w:rFonts w:ascii="Verdana" w:hAnsi="Verdana" w:cs="Tahoma"/>
          <w:b/>
          <w:sz w:val="20"/>
          <w:szCs w:val="20"/>
        </w:rPr>
        <w:t>zi</w:t>
      </w:r>
      <w:r w:rsidRPr="000D3FAC">
        <w:rPr>
          <w:rFonts w:ascii="Verdana" w:hAnsi="Verdana" w:cs="Tahoma"/>
          <w:b/>
          <w:sz w:val="20"/>
          <w:szCs w:val="20"/>
        </w:rPr>
        <w:t>:</w:t>
      </w:r>
    </w:p>
    <w:p w:rsidR="002E6A4A" w:rsidRDefault="002E6A4A" w:rsidP="00ED7FB7">
      <w:pPr>
        <w:widowControl w:val="0"/>
        <w:suppressAutoHyphens/>
        <w:spacing w:after="0" w:line="240" w:lineRule="auto"/>
        <w:ind w:right="567"/>
        <w:jc w:val="both"/>
        <w:rPr>
          <w:rFonts w:ascii="Verdana" w:hAnsi="Verdana" w:cs="Tahoma"/>
          <w:b/>
          <w:sz w:val="20"/>
          <w:szCs w:val="20"/>
        </w:rPr>
      </w:pPr>
      <w:r>
        <w:rPr>
          <w:rFonts w:ascii="Verdana" w:hAnsi="Verdana" w:cs="Tahoma"/>
          <w:b/>
          <w:sz w:val="20"/>
          <w:szCs w:val="20"/>
        </w:rPr>
        <w:t>Ad 1 – należy zaproponować lek o takiej samej nazwie międzynarodowej dawce, dostępny na rynku.</w:t>
      </w:r>
    </w:p>
    <w:p w:rsidR="005F4DE2" w:rsidRPr="00E007B1" w:rsidRDefault="002E6A4A" w:rsidP="005F4DE2">
      <w:pPr>
        <w:tabs>
          <w:tab w:val="left" w:pos="105"/>
          <w:tab w:val="left" w:pos="120"/>
        </w:tabs>
        <w:spacing w:after="0" w:line="240" w:lineRule="auto"/>
        <w:ind w:firstLine="15"/>
        <w:jc w:val="both"/>
        <w:rPr>
          <w:rFonts w:ascii="Verdana" w:hAnsi="Verdana"/>
          <w:b/>
          <w:sz w:val="20"/>
          <w:szCs w:val="20"/>
        </w:rPr>
      </w:pPr>
      <w:r>
        <w:rPr>
          <w:rFonts w:ascii="Verdana" w:hAnsi="Verdana" w:cs="Tahoma"/>
          <w:b/>
          <w:sz w:val="20"/>
          <w:szCs w:val="20"/>
        </w:rPr>
        <w:t xml:space="preserve">Ad 2 </w:t>
      </w:r>
      <w:r w:rsidR="00CA2826">
        <w:rPr>
          <w:rFonts w:ascii="Verdana" w:hAnsi="Verdana" w:cs="Tahoma"/>
          <w:b/>
          <w:sz w:val="20"/>
          <w:szCs w:val="20"/>
        </w:rPr>
        <w:t>–</w:t>
      </w:r>
      <w:r>
        <w:rPr>
          <w:rFonts w:ascii="Verdana" w:hAnsi="Verdana" w:cs="Tahoma"/>
          <w:b/>
          <w:sz w:val="20"/>
          <w:szCs w:val="20"/>
        </w:rPr>
        <w:t xml:space="preserve"> </w:t>
      </w:r>
      <w:proofErr w:type="spellStart"/>
      <w:r w:rsidR="00CA2826">
        <w:rPr>
          <w:rFonts w:ascii="Verdana" w:hAnsi="Verdana" w:cs="Tahoma"/>
          <w:b/>
          <w:sz w:val="20"/>
          <w:szCs w:val="20"/>
        </w:rPr>
        <w:t>Zamawiaący</w:t>
      </w:r>
      <w:proofErr w:type="spellEnd"/>
      <w:r w:rsidR="00CA2826">
        <w:rPr>
          <w:rFonts w:ascii="Verdana" w:hAnsi="Verdana" w:cs="Tahoma"/>
          <w:b/>
          <w:sz w:val="20"/>
          <w:szCs w:val="20"/>
        </w:rPr>
        <w:t xml:space="preserve"> dopuszcza zmianę postaci. </w:t>
      </w:r>
      <w:r w:rsidRPr="000A65FE">
        <w:rPr>
          <w:rFonts w:ascii="Verdana" w:hAnsi="Verdana" w:cs="Tahoma"/>
          <w:b/>
          <w:sz w:val="20"/>
          <w:szCs w:val="20"/>
          <w:highlight w:val="yellow"/>
          <w:shd w:val="clear" w:color="auto" w:fill="FFFFFF"/>
        </w:rPr>
        <w:t xml:space="preserve">Zamawiający usuwa pozycję 30 z pakietu nr 1, ponieważ jest ona zdublowana w pakiecie nr 2 w pozycji 2. W związku z tym </w:t>
      </w:r>
      <w:proofErr w:type="spellStart"/>
      <w:r w:rsidRPr="000A65FE">
        <w:rPr>
          <w:rFonts w:ascii="Verdana" w:hAnsi="Verdana" w:cs="Tahoma"/>
          <w:b/>
          <w:sz w:val="20"/>
          <w:szCs w:val="20"/>
          <w:highlight w:val="yellow"/>
          <w:shd w:val="clear" w:color="auto" w:fill="FFFFFF"/>
        </w:rPr>
        <w:t>siwz</w:t>
      </w:r>
      <w:proofErr w:type="spellEnd"/>
      <w:r w:rsidRPr="000A65FE">
        <w:rPr>
          <w:rFonts w:ascii="Verdana" w:hAnsi="Verdana" w:cs="Tahoma"/>
          <w:b/>
          <w:sz w:val="20"/>
          <w:szCs w:val="20"/>
          <w:highlight w:val="yellow"/>
          <w:shd w:val="clear" w:color="auto" w:fill="FFFFFF"/>
        </w:rPr>
        <w:t xml:space="preserve"> zostaje zmodyfikowany w zakresie </w:t>
      </w:r>
      <w:proofErr w:type="spellStart"/>
      <w:r w:rsidRPr="000A65FE">
        <w:rPr>
          <w:rFonts w:ascii="Verdana" w:hAnsi="Verdana" w:cs="Tahoma"/>
          <w:b/>
          <w:sz w:val="20"/>
          <w:szCs w:val="20"/>
          <w:highlight w:val="yellow"/>
          <w:shd w:val="clear" w:color="auto" w:fill="FFFFFF"/>
        </w:rPr>
        <w:t>zalacznik</w:t>
      </w:r>
      <w:proofErr w:type="spellEnd"/>
      <w:r w:rsidRPr="000A65FE">
        <w:rPr>
          <w:rFonts w:ascii="Verdana" w:hAnsi="Verdana" w:cs="Tahoma"/>
          <w:b/>
          <w:sz w:val="20"/>
          <w:szCs w:val="20"/>
          <w:highlight w:val="yellow"/>
          <w:shd w:val="clear" w:color="auto" w:fill="FFFFFF"/>
        </w:rPr>
        <w:t xml:space="preserve"> nr 2_FC_pakiety 1-22_Antybiotyki</w:t>
      </w:r>
      <w:r w:rsidRPr="00CA2826">
        <w:rPr>
          <w:rFonts w:ascii="Verdana" w:hAnsi="Verdana" w:cs="Tahoma"/>
          <w:b/>
          <w:sz w:val="20"/>
          <w:szCs w:val="20"/>
          <w:highlight w:val="yellow"/>
          <w:shd w:val="clear" w:color="auto" w:fill="FFFFFF"/>
        </w:rPr>
        <w:t>.</w:t>
      </w:r>
      <w:r w:rsidR="005F4DE2" w:rsidRPr="00CA2826">
        <w:rPr>
          <w:b/>
          <w:highlight w:val="yellow"/>
        </w:rPr>
        <w:t xml:space="preserve"> oraz </w:t>
      </w:r>
      <w:proofErr w:type="spellStart"/>
      <w:r w:rsidR="005F4DE2" w:rsidRPr="00CA2826">
        <w:rPr>
          <w:rFonts w:ascii="Verdana" w:hAnsi="Verdana" w:cs="Tahoma"/>
          <w:b/>
          <w:sz w:val="20"/>
          <w:szCs w:val="20"/>
          <w:highlight w:val="yellow"/>
          <w:shd w:val="clear" w:color="auto" w:fill="FFFFFF"/>
        </w:rPr>
        <w:t>zalacznik</w:t>
      </w:r>
      <w:proofErr w:type="spellEnd"/>
      <w:r w:rsidR="005F4DE2" w:rsidRPr="00CA2826">
        <w:rPr>
          <w:rFonts w:ascii="Verdana" w:hAnsi="Verdana" w:cs="Tahoma"/>
          <w:b/>
          <w:sz w:val="20"/>
          <w:szCs w:val="20"/>
          <w:highlight w:val="yellow"/>
          <w:shd w:val="clear" w:color="auto" w:fill="FFFFFF"/>
        </w:rPr>
        <w:t xml:space="preserve"> nr 6 WADIUM</w:t>
      </w:r>
    </w:p>
    <w:p w:rsidR="002E6A4A" w:rsidRPr="00E007B1" w:rsidRDefault="002E6A4A" w:rsidP="00ED7FB7">
      <w:pPr>
        <w:tabs>
          <w:tab w:val="left" w:pos="105"/>
          <w:tab w:val="left" w:pos="120"/>
        </w:tabs>
        <w:spacing w:after="0" w:line="240" w:lineRule="auto"/>
        <w:ind w:firstLine="15"/>
        <w:jc w:val="both"/>
        <w:rPr>
          <w:rFonts w:ascii="Verdana" w:hAnsi="Verdana" w:cs="Tahoma"/>
          <w:b/>
          <w:sz w:val="20"/>
          <w:szCs w:val="20"/>
          <w:shd w:val="clear" w:color="auto" w:fill="FFFFFF"/>
        </w:rPr>
      </w:pPr>
      <w:r>
        <w:rPr>
          <w:rFonts w:ascii="Verdana" w:hAnsi="Verdana" w:cs="Arial"/>
          <w:b/>
          <w:sz w:val="20"/>
          <w:szCs w:val="20"/>
        </w:rPr>
        <w:t>Ad 3,4,7,9,11,13,14,15,16,17,19:</w:t>
      </w:r>
      <w:r w:rsidRPr="00E007B1">
        <w:rPr>
          <w:rFonts w:ascii="Verdana" w:hAnsi="Verdana" w:cs="Arial"/>
          <w:b/>
          <w:sz w:val="20"/>
          <w:szCs w:val="20"/>
        </w:rPr>
        <w:t xml:space="preserve"> </w:t>
      </w:r>
      <w:r>
        <w:rPr>
          <w:rFonts w:ascii="Verdana" w:hAnsi="Verdana" w:cs="Tahoma"/>
          <w:b/>
          <w:sz w:val="20"/>
          <w:szCs w:val="20"/>
          <w:shd w:val="clear" w:color="auto" w:fill="FFFFFF"/>
        </w:rPr>
        <w:t>Zamawiający dopuszcza.</w:t>
      </w:r>
    </w:p>
    <w:p w:rsidR="002E6A4A" w:rsidRPr="002E6A4A" w:rsidRDefault="000D3FAC" w:rsidP="00ED7FB7">
      <w:pPr>
        <w:widowControl w:val="0"/>
        <w:suppressAutoHyphens/>
        <w:spacing w:after="0" w:line="240" w:lineRule="auto"/>
        <w:ind w:right="567"/>
        <w:jc w:val="both"/>
        <w:rPr>
          <w:rFonts w:ascii="Verdana" w:hAnsi="Verdana" w:cs="Arial"/>
          <w:b/>
          <w:sz w:val="20"/>
          <w:szCs w:val="20"/>
        </w:rPr>
      </w:pPr>
      <w:r>
        <w:rPr>
          <w:rFonts w:ascii="Verdana" w:hAnsi="Verdana" w:cs="Tahoma"/>
          <w:b/>
          <w:sz w:val="20"/>
          <w:szCs w:val="20"/>
        </w:rPr>
        <w:t>Ad</w:t>
      </w:r>
      <w:r w:rsidR="002E6A4A">
        <w:rPr>
          <w:rFonts w:ascii="Verdana" w:hAnsi="Verdana" w:cs="Tahoma"/>
          <w:b/>
          <w:sz w:val="20"/>
          <w:szCs w:val="20"/>
        </w:rPr>
        <w:t xml:space="preserve"> </w:t>
      </w:r>
      <w:r>
        <w:rPr>
          <w:rFonts w:ascii="Verdana" w:hAnsi="Verdana" w:cs="Tahoma"/>
          <w:b/>
          <w:sz w:val="20"/>
          <w:szCs w:val="20"/>
        </w:rPr>
        <w:t>5,6,8,</w:t>
      </w:r>
      <w:r w:rsidR="002E6A4A">
        <w:rPr>
          <w:rFonts w:ascii="Verdana" w:hAnsi="Verdana" w:cs="Tahoma"/>
          <w:b/>
          <w:sz w:val="20"/>
          <w:szCs w:val="20"/>
        </w:rPr>
        <w:t>10,</w:t>
      </w:r>
      <w:r>
        <w:rPr>
          <w:rFonts w:ascii="Verdana" w:hAnsi="Verdana" w:cs="Tahoma"/>
          <w:b/>
          <w:sz w:val="20"/>
          <w:szCs w:val="20"/>
        </w:rPr>
        <w:t>20,21,22,23,24,25,</w:t>
      </w:r>
      <w:r w:rsidR="002E6A4A">
        <w:rPr>
          <w:rFonts w:ascii="Verdana" w:hAnsi="Verdana" w:cs="Tahoma"/>
          <w:b/>
          <w:sz w:val="20"/>
          <w:szCs w:val="20"/>
        </w:rPr>
        <w:t>26,28,</w:t>
      </w:r>
      <w:r w:rsidR="00D64475">
        <w:rPr>
          <w:rFonts w:ascii="Verdana" w:hAnsi="Verdana" w:cs="Tahoma"/>
          <w:b/>
          <w:sz w:val="20"/>
          <w:szCs w:val="20"/>
        </w:rPr>
        <w:t>3</w:t>
      </w:r>
      <w:r w:rsidR="002E6A4A">
        <w:rPr>
          <w:rFonts w:ascii="Verdana" w:hAnsi="Verdana" w:cs="Tahoma"/>
          <w:b/>
          <w:sz w:val="20"/>
          <w:szCs w:val="20"/>
        </w:rPr>
        <w:t>2:</w:t>
      </w:r>
      <w:r w:rsidRPr="000D3FAC">
        <w:rPr>
          <w:rFonts w:ascii="Verdana" w:hAnsi="Verdana" w:cs="Arial"/>
          <w:b/>
          <w:sz w:val="20"/>
          <w:szCs w:val="20"/>
        </w:rPr>
        <w:t>Zamawiający pozostawia zapisy SIWZ bez zmian.</w:t>
      </w:r>
    </w:p>
    <w:p w:rsidR="002E6A4A" w:rsidRDefault="002E6A4A" w:rsidP="00ED7FB7">
      <w:pPr>
        <w:tabs>
          <w:tab w:val="left" w:pos="120"/>
        </w:tabs>
        <w:spacing w:after="0" w:line="240" w:lineRule="auto"/>
        <w:ind w:firstLine="15"/>
        <w:jc w:val="both"/>
        <w:rPr>
          <w:rFonts w:ascii="Verdana" w:hAnsi="Verdana" w:cs="Tahoma"/>
          <w:b/>
          <w:sz w:val="20"/>
          <w:szCs w:val="20"/>
          <w:shd w:val="clear" w:color="auto" w:fill="FFFFFF"/>
        </w:rPr>
      </w:pPr>
      <w:r>
        <w:rPr>
          <w:rFonts w:ascii="Verdana" w:hAnsi="Verdana" w:cs="Arial"/>
          <w:b/>
          <w:sz w:val="20"/>
          <w:szCs w:val="20"/>
        </w:rPr>
        <w:t xml:space="preserve">Ad 12 – </w:t>
      </w:r>
      <w:r>
        <w:rPr>
          <w:rFonts w:ascii="Verdana" w:hAnsi="Verdana" w:cs="Tahoma"/>
          <w:b/>
          <w:sz w:val="20"/>
          <w:szCs w:val="20"/>
          <w:shd w:val="clear" w:color="auto" w:fill="FFFFFF"/>
        </w:rPr>
        <w:t>Zamawiający dopuszcza, ale 2op</w:t>
      </w:r>
      <w:r w:rsidR="00CA2826">
        <w:rPr>
          <w:rFonts w:ascii="Verdana" w:hAnsi="Verdana" w:cs="Tahoma"/>
          <w:b/>
          <w:sz w:val="20"/>
          <w:szCs w:val="20"/>
          <w:shd w:val="clear" w:color="auto" w:fill="FFFFFF"/>
        </w:rPr>
        <w:t xml:space="preserve"> </w:t>
      </w:r>
      <w:r>
        <w:rPr>
          <w:rFonts w:ascii="Verdana" w:hAnsi="Verdana" w:cs="Tahoma"/>
          <w:b/>
          <w:sz w:val="20"/>
          <w:szCs w:val="20"/>
          <w:shd w:val="clear" w:color="auto" w:fill="FFFFFF"/>
        </w:rPr>
        <w:t>x</w:t>
      </w:r>
      <w:r w:rsidR="00CA2826">
        <w:rPr>
          <w:rFonts w:ascii="Verdana" w:hAnsi="Verdana" w:cs="Tahoma"/>
          <w:b/>
          <w:sz w:val="20"/>
          <w:szCs w:val="20"/>
          <w:shd w:val="clear" w:color="auto" w:fill="FFFFFF"/>
        </w:rPr>
        <w:t xml:space="preserve"> </w:t>
      </w:r>
      <w:r>
        <w:rPr>
          <w:rFonts w:ascii="Verdana" w:hAnsi="Verdana" w:cs="Tahoma"/>
          <w:b/>
          <w:sz w:val="20"/>
          <w:szCs w:val="20"/>
          <w:shd w:val="clear" w:color="auto" w:fill="FFFFFF"/>
        </w:rPr>
        <w:t>2fiol</w:t>
      </w:r>
      <w:r w:rsidR="00CA2826">
        <w:rPr>
          <w:rFonts w:ascii="Verdana" w:hAnsi="Verdana" w:cs="Tahoma"/>
          <w:b/>
          <w:sz w:val="20"/>
          <w:szCs w:val="20"/>
          <w:shd w:val="clear" w:color="auto" w:fill="FFFFFF"/>
        </w:rPr>
        <w:t xml:space="preserve"> </w:t>
      </w:r>
      <w:r>
        <w:rPr>
          <w:rFonts w:ascii="Verdana" w:hAnsi="Verdana" w:cs="Tahoma"/>
          <w:b/>
          <w:sz w:val="20"/>
          <w:szCs w:val="20"/>
          <w:shd w:val="clear" w:color="auto" w:fill="FFFFFF"/>
        </w:rPr>
        <w:t>+</w:t>
      </w:r>
      <w:r w:rsidR="00CA2826">
        <w:rPr>
          <w:rFonts w:ascii="Verdana" w:hAnsi="Verdana" w:cs="Tahoma"/>
          <w:b/>
          <w:sz w:val="20"/>
          <w:szCs w:val="20"/>
          <w:shd w:val="clear" w:color="auto" w:fill="FFFFFF"/>
        </w:rPr>
        <w:t xml:space="preserve"> </w:t>
      </w:r>
      <w:r>
        <w:rPr>
          <w:rFonts w:ascii="Verdana" w:hAnsi="Verdana" w:cs="Tahoma"/>
          <w:b/>
          <w:sz w:val="20"/>
          <w:szCs w:val="20"/>
          <w:shd w:val="clear" w:color="auto" w:fill="FFFFFF"/>
        </w:rPr>
        <w:t>2rozp.</w:t>
      </w:r>
    </w:p>
    <w:p w:rsidR="005F4DE2" w:rsidRPr="00E007B1" w:rsidRDefault="002E6A4A" w:rsidP="005F4DE2">
      <w:pPr>
        <w:tabs>
          <w:tab w:val="left" w:pos="105"/>
          <w:tab w:val="left" w:pos="120"/>
        </w:tabs>
        <w:spacing w:after="0" w:line="240" w:lineRule="auto"/>
        <w:ind w:firstLine="15"/>
        <w:jc w:val="both"/>
        <w:rPr>
          <w:rFonts w:ascii="Verdana" w:hAnsi="Verdana"/>
          <w:b/>
          <w:sz w:val="20"/>
          <w:szCs w:val="20"/>
        </w:rPr>
      </w:pPr>
      <w:r>
        <w:rPr>
          <w:rFonts w:ascii="Verdana" w:hAnsi="Verdana" w:cs="Tahoma"/>
          <w:b/>
          <w:sz w:val="20"/>
          <w:szCs w:val="20"/>
          <w:highlight w:val="yellow"/>
          <w:shd w:val="clear" w:color="auto" w:fill="FFFFFF"/>
        </w:rPr>
        <w:t>Ad 18 -Zamawiający wyłącza pozycje nr 3-7 z pakietu nr 77</w:t>
      </w:r>
      <w:r w:rsidR="0062202D">
        <w:rPr>
          <w:rFonts w:ascii="Verdana" w:hAnsi="Verdana" w:cs="Tahoma"/>
          <w:b/>
          <w:sz w:val="20"/>
          <w:szCs w:val="20"/>
          <w:highlight w:val="yellow"/>
          <w:shd w:val="clear" w:color="auto" w:fill="FFFFFF"/>
        </w:rPr>
        <w:t xml:space="preserve"> i tworzy pakiet 77A</w:t>
      </w:r>
      <w:r>
        <w:rPr>
          <w:rFonts w:ascii="Verdana" w:hAnsi="Verdana" w:cs="Tahoma"/>
          <w:b/>
          <w:sz w:val="20"/>
          <w:szCs w:val="20"/>
          <w:highlight w:val="yellow"/>
          <w:shd w:val="clear" w:color="auto" w:fill="FFFFFF"/>
        </w:rPr>
        <w:t>.</w:t>
      </w:r>
      <w:r>
        <w:rPr>
          <w:rFonts w:ascii="Verdana" w:hAnsi="Verdana" w:cs="Tahoma"/>
          <w:b/>
          <w:sz w:val="20"/>
          <w:szCs w:val="20"/>
          <w:shd w:val="clear" w:color="auto" w:fill="FFFFFF"/>
        </w:rPr>
        <w:t xml:space="preserve"> </w:t>
      </w:r>
      <w:r>
        <w:rPr>
          <w:rFonts w:ascii="Verdana" w:hAnsi="Verdana" w:cs="Tahoma"/>
          <w:b/>
          <w:sz w:val="20"/>
          <w:szCs w:val="20"/>
          <w:highlight w:val="yellow"/>
          <w:shd w:val="clear" w:color="auto" w:fill="FFFFFF"/>
        </w:rPr>
        <w:t xml:space="preserve">W związku z tym </w:t>
      </w:r>
      <w:proofErr w:type="spellStart"/>
      <w:r>
        <w:rPr>
          <w:rFonts w:ascii="Verdana" w:hAnsi="Verdana" w:cs="Tahoma"/>
          <w:b/>
          <w:sz w:val="20"/>
          <w:szCs w:val="20"/>
          <w:highlight w:val="yellow"/>
          <w:shd w:val="clear" w:color="auto" w:fill="FFFFFF"/>
        </w:rPr>
        <w:t>siwz</w:t>
      </w:r>
      <w:proofErr w:type="spellEnd"/>
      <w:r>
        <w:rPr>
          <w:rFonts w:ascii="Verdana" w:hAnsi="Verdana" w:cs="Tahoma"/>
          <w:b/>
          <w:sz w:val="20"/>
          <w:szCs w:val="20"/>
          <w:highlight w:val="yellow"/>
          <w:shd w:val="clear" w:color="auto" w:fill="FFFFFF"/>
        </w:rPr>
        <w:t xml:space="preserve"> zostaje zmodyfikowany w zakresie </w:t>
      </w:r>
      <w:proofErr w:type="spellStart"/>
      <w:r>
        <w:rPr>
          <w:rFonts w:ascii="Verdana" w:hAnsi="Verdana" w:cs="Tahoma"/>
          <w:b/>
          <w:sz w:val="20"/>
          <w:szCs w:val="20"/>
          <w:highlight w:val="yellow"/>
          <w:shd w:val="clear" w:color="auto" w:fill="FFFFFF"/>
        </w:rPr>
        <w:t>zalacznik</w:t>
      </w:r>
      <w:proofErr w:type="spellEnd"/>
      <w:r>
        <w:rPr>
          <w:rFonts w:ascii="Verdana" w:hAnsi="Verdana" w:cs="Tahoma"/>
          <w:b/>
          <w:sz w:val="20"/>
          <w:szCs w:val="20"/>
          <w:highlight w:val="yellow"/>
          <w:shd w:val="clear" w:color="auto" w:fill="FFFFFF"/>
        </w:rPr>
        <w:t xml:space="preserve"> nr 2_FC_pakiety 57-103_Leki </w:t>
      </w:r>
      <w:proofErr w:type="spellStart"/>
      <w:r>
        <w:rPr>
          <w:rFonts w:ascii="Verdana" w:hAnsi="Verdana" w:cs="Tahoma"/>
          <w:b/>
          <w:sz w:val="20"/>
          <w:szCs w:val="20"/>
          <w:highlight w:val="yellow"/>
          <w:shd w:val="clear" w:color="auto" w:fill="FFFFFF"/>
        </w:rPr>
        <w:t>got</w:t>
      </w:r>
      <w:proofErr w:type="spellEnd"/>
      <w:r w:rsidRPr="00CA2826">
        <w:rPr>
          <w:rFonts w:ascii="Verdana" w:hAnsi="Verdana" w:cs="Tahoma"/>
          <w:b/>
          <w:sz w:val="20"/>
          <w:szCs w:val="20"/>
          <w:highlight w:val="yellow"/>
          <w:shd w:val="clear" w:color="auto" w:fill="FFFFFF"/>
        </w:rPr>
        <w:t>.</w:t>
      </w:r>
      <w:r w:rsidR="005F4DE2" w:rsidRPr="00CA2826">
        <w:rPr>
          <w:b/>
          <w:highlight w:val="yellow"/>
        </w:rPr>
        <w:t xml:space="preserve"> oraz </w:t>
      </w:r>
      <w:proofErr w:type="spellStart"/>
      <w:r w:rsidR="005F4DE2" w:rsidRPr="00CA2826">
        <w:rPr>
          <w:rFonts w:ascii="Verdana" w:hAnsi="Verdana" w:cs="Tahoma"/>
          <w:b/>
          <w:sz w:val="20"/>
          <w:szCs w:val="20"/>
          <w:highlight w:val="yellow"/>
          <w:shd w:val="clear" w:color="auto" w:fill="FFFFFF"/>
        </w:rPr>
        <w:t>zalacznik</w:t>
      </w:r>
      <w:proofErr w:type="spellEnd"/>
      <w:r w:rsidR="005F4DE2" w:rsidRPr="00CA2826">
        <w:rPr>
          <w:rFonts w:ascii="Verdana" w:hAnsi="Verdana" w:cs="Tahoma"/>
          <w:b/>
          <w:sz w:val="20"/>
          <w:szCs w:val="20"/>
          <w:highlight w:val="yellow"/>
          <w:shd w:val="clear" w:color="auto" w:fill="FFFFFF"/>
        </w:rPr>
        <w:t xml:space="preserve"> nr 6 WADIUM</w:t>
      </w:r>
    </w:p>
    <w:p w:rsidR="002E6A4A" w:rsidRDefault="002E6A4A" w:rsidP="00ED7FB7">
      <w:pPr>
        <w:autoSpaceDE w:val="0"/>
        <w:autoSpaceDN w:val="0"/>
        <w:spacing w:after="0" w:line="240" w:lineRule="auto"/>
        <w:jc w:val="both"/>
        <w:rPr>
          <w:rFonts w:ascii="Verdana" w:hAnsi="Verdana" w:cs="Arial"/>
          <w:b/>
          <w:sz w:val="20"/>
          <w:szCs w:val="20"/>
        </w:rPr>
      </w:pPr>
      <w:r>
        <w:rPr>
          <w:rFonts w:ascii="Verdana" w:hAnsi="Verdana" w:cs="Tahoma"/>
          <w:b/>
          <w:sz w:val="20"/>
          <w:szCs w:val="20"/>
          <w:shd w:val="clear" w:color="auto" w:fill="FFFFFF"/>
        </w:rPr>
        <w:t>Ad 27,29,30,31-</w:t>
      </w:r>
      <w:r w:rsidRPr="002E6A4A">
        <w:rPr>
          <w:rFonts w:ascii="Verdana" w:hAnsi="Verdana" w:cs="Tahoma"/>
          <w:b/>
          <w:sz w:val="20"/>
          <w:szCs w:val="20"/>
        </w:rPr>
        <w:t xml:space="preserve"> </w:t>
      </w:r>
      <w:r>
        <w:rPr>
          <w:rFonts w:ascii="Verdana" w:hAnsi="Verdana" w:cs="Arial"/>
          <w:b/>
          <w:sz w:val="20"/>
          <w:szCs w:val="20"/>
        </w:rPr>
        <w:t>Zamawiający pozostawia zapisy SIWZ bez zmian, ponieważ oczekuje preparatu o innej substancji czynnej.</w:t>
      </w:r>
    </w:p>
    <w:p w:rsidR="002E6A4A" w:rsidRDefault="002E6A4A" w:rsidP="00ED7FB7">
      <w:pPr>
        <w:autoSpaceDE w:val="0"/>
        <w:autoSpaceDN w:val="0"/>
        <w:spacing w:after="0" w:line="240" w:lineRule="auto"/>
        <w:jc w:val="both"/>
        <w:rPr>
          <w:rFonts w:ascii="Times New Roman" w:hAnsi="Times New Roman"/>
          <w:color w:val="000000"/>
          <w:u w:val="single"/>
        </w:rPr>
      </w:pPr>
    </w:p>
    <w:p w:rsidR="00ED7FB7" w:rsidRDefault="00ED7FB7" w:rsidP="00ED7FB7">
      <w:pPr>
        <w:spacing w:after="0" w:line="240" w:lineRule="auto"/>
        <w:rPr>
          <w:rFonts w:ascii="Verdana" w:hAnsi="Verdana"/>
          <w:b/>
          <w:sz w:val="20"/>
          <w:szCs w:val="20"/>
          <w:lang w:eastAsia="pl-PL"/>
        </w:rPr>
      </w:pPr>
      <w:r>
        <w:rPr>
          <w:rFonts w:ascii="Verdana" w:hAnsi="Verdana"/>
          <w:b/>
          <w:sz w:val="20"/>
          <w:szCs w:val="20"/>
          <w:lang w:eastAsia="pl-PL"/>
        </w:rPr>
        <w:t>Pytania  9:</w:t>
      </w:r>
    </w:p>
    <w:p w:rsidR="00ED7FB7" w:rsidRPr="0030050A" w:rsidRDefault="00ED7FB7" w:rsidP="00ED7FB7">
      <w:pPr>
        <w:shd w:val="clear" w:color="auto" w:fill="FFFFFF"/>
        <w:spacing w:after="0" w:line="240" w:lineRule="auto"/>
        <w:rPr>
          <w:rFonts w:eastAsia="Times New Roman"/>
          <w:color w:val="000000"/>
          <w:sz w:val="24"/>
          <w:szCs w:val="24"/>
          <w:lang w:eastAsia="pl-PL"/>
        </w:rPr>
      </w:pPr>
      <w:r w:rsidRPr="0030050A">
        <w:rPr>
          <w:rFonts w:eastAsia="Times New Roman"/>
          <w:color w:val="000000"/>
          <w:sz w:val="24"/>
          <w:szCs w:val="24"/>
          <w:lang w:eastAsia="pl-PL"/>
        </w:rPr>
        <w:t>Pakiet nr 59</w:t>
      </w:r>
      <w:r>
        <w:rPr>
          <w:rFonts w:eastAsia="Times New Roman"/>
          <w:color w:val="000000"/>
          <w:sz w:val="24"/>
          <w:szCs w:val="24"/>
          <w:lang w:eastAsia="pl-PL"/>
        </w:rPr>
        <w:t xml:space="preserve">, </w:t>
      </w:r>
      <w:r w:rsidRPr="0030050A">
        <w:rPr>
          <w:rFonts w:eastAsia="Times New Roman"/>
          <w:color w:val="000000"/>
          <w:sz w:val="24"/>
          <w:szCs w:val="24"/>
          <w:lang w:eastAsia="pl-PL"/>
        </w:rPr>
        <w:t>Pozycja 70</w:t>
      </w:r>
    </w:p>
    <w:p w:rsidR="00ED7FB7" w:rsidRPr="0030050A" w:rsidRDefault="00ED7FB7" w:rsidP="00ED7FB7">
      <w:pPr>
        <w:shd w:val="clear" w:color="auto" w:fill="FFFFFF"/>
        <w:spacing w:after="0" w:line="240" w:lineRule="auto"/>
        <w:rPr>
          <w:rFonts w:eastAsia="Times New Roman"/>
          <w:color w:val="000000"/>
          <w:sz w:val="24"/>
          <w:szCs w:val="24"/>
          <w:lang w:eastAsia="pl-PL"/>
        </w:rPr>
      </w:pPr>
      <w:r w:rsidRPr="0030050A">
        <w:rPr>
          <w:rFonts w:eastAsia="Times New Roman"/>
          <w:color w:val="000000"/>
          <w:sz w:val="24"/>
          <w:szCs w:val="24"/>
          <w:lang w:eastAsia="pl-PL"/>
        </w:rPr>
        <w:t>Czy Zamawiający zaakceptuje preparat typu </w:t>
      </w:r>
      <w:proofErr w:type="spellStart"/>
      <w:r w:rsidRPr="0030050A">
        <w:rPr>
          <w:rFonts w:eastAsia="Times New Roman"/>
          <w:color w:val="000000"/>
          <w:sz w:val="24"/>
          <w:szCs w:val="24"/>
          <w:lang w:eastAsia="pl-PL"/>
        </w:rPr>
        <w:t>Rectanal</w:t>
      </w:r>
      <w:proofErr w:type="spellEnd"/>
      <w:r w:rsidRPr="0030050A">
        <w:rPr>
          <w:rFonts w:eastAsia="Times New Roman"/>
          <w:color w:val="000000"/>
          <w:sz w:val="24"/>
          <w:szCs w:val="24"/>
          <w:lang w:eastAsia="pl-PL"/>
        </w:rPr>
        <w:t xml:space="preserve"> 150 ml  wlewka doodbytnicza ?</w:t>
      </w:r>
    </w:p>
    <w:p w:rsidR="00ED7FB7" w:rsidRPr="0030050A" w:rsidRDefault="00ED7FB7" w:rsidP="00ED7FB7">
      <w:pPr>
        <w:shd w:val="clear" w:color="auto" w:fill="FFFFFF"/>
        <w:spacing w:after="0" w:line="240" w:lineRule="auto"/>
        <w:rPr>
          <w:rFonts w:eastAsia="Times New Roman"/>
          <w:color w:val="000000"/>
          <w:sz w:val="24"/>
          <w:szCs w:val="24"/>
          <w:lang w:eastAsia="pl-PL"/>
        </w:rPr>
      </w:pPr>
      <w:r w:rsidRPr="0030050A">
        <w:rPr>
          <w:rFonts w:eastAsia="Times New Roman"/>
          <w:color w:val="000000"/>
          <w:sz w:val="24"/>
          <w:szCs w:val="24"/>
          <w:lang w:eastAsia="pl-PL"/>
        </w:rPr>
        <w:t xml:space="preserve"> sodu </w:t>
      </w:r>
      <w:proofErr w:type="spellStart"/>
      <w:r w:rsidRPr="0030050A">
        <w:rPr>
          <w:rFonts w:eastAsia="Times New Roman"/>
          <w:color w:val="000000"/>
          <w:sz w:val="24"/>
          <w:szCs w:val="24"/>
          <w:lang w:eastAsia="pl-PL"/>
        </w:rPr>
        <w:t>diwodorofosforan</w:t>
      </w:r>
      <w:proofErr w:type="spellEnd"/>
      <w:r w:rsidRPr="0030050A">
        <w:rPr>
          <w:rFonts w:eastAsia="Times New Roman"/>
          <w:color w:val="000000"/>
          <w:sz w:val="24"/>
          <w:szCs w:val="24"/>
          <w:lang w:eastAsia="pl-PL"/>
        </w:rPr>
        <w:t xml:space="preserve"> jednowodny (</w:t>
      </w:r>
      <w:proofErr w:type="spellStart"/>
      <w:r w:rsidRPr="0030050A">
        <w:rPr>
          <w:rFonts w:eastAsia="Times New Roman"/>
          <w:i/>
          <w:iCs/>
          <w:color w:val="000000"/>
          <w:sz w:val="24"/>
          <w:szCs w:val="24"/>
          <w:lang w:eastAsia="pl-PL"/>
        </w:rPr>
        <w:t>Natrii</w:t>
      </w:r>
      <w:proofErr w:type="spellEnd"/>
      <w:r w:rsidRPr="0030050A">
        <w:rPr>
          <w:rFonts w:eastAsia="Times New Roman"/>
          <w:i/>
          <w:iCs/>
          <w:color w:val="000000"/>
          <w:sz w:val="24"/>
          <w:szCs w:val="24"/>
          <w:lang w:eastAsia="pl-PL"/>
        </w:rPr>
        <w:t xml:space="preserve"> </w:t>
      </w:r>
      <w:proofErr w:type="spellStart"/>
      <w:r w:rsidRPr="0030050A">
        <w:rPr>
          <w:rFonts w:eastAsia="Times New Roman"/>
          <w:i/>
          <w:iCs/>
          <w:color w:val="000000"/>
          <w:sz w:val="24"/>
          <w:szCs w:val="24"/>
          <w:lang w:eastAsia="pl-PL"/>
        </w:rPr>
        <w:t>dihydrophosphas</w:t>
      </w:r>
      <w:proofErr w:type="spellEnd"/>
      <w:r w:rsidRPr="0030050A">
        <w:rPr>
          <w:rFonts w:eastAsia="Times New Roman"/>
          <w:i/>
          <w:iCs/>
          <w:color w:val="000000"/>
          <w:sz w:val="24"/>
          <w:szCs w:val="24"/>
          <w:lang w:eastAsia="pl-PL"/>
        </w:rPr>
        <w:t xml:space="preserve"> </w:t>
      </w:r>
      <w:proofErr w:type="spellStart"/>
      <w:r w:rsidRPr="0030050A">
        <w:rPr>
          <w:rFonts w:eastAsia="Times New Roman"/>
          <w:i/>
          <w:iCs/>
          <w:color w:val="000000"/>
          <w:sz w:val="24"/>
          <w:szCs w:val="24"/>
          <w:lang w:eastAsia="pl-PL"/>
        </w:rPr>
        <w:t>monohydricus</w:t>
      </w:r>
      <w:proofErr w:type="spellEnd"/>
      <w:r w:rsidRPr="0030050A">
        <w:rPr>
          <w:rFonts w:eastAsia="Times New Roman"/>
          <w:color w:val="000000"/>
          <w:sz w:val="24"/>
          <w:szCs w:val="24"/>
          <w:lang w:eastAsia="pl-PL"/>
        </w:rPr>
        <w:t>) 14 g;</w:t>
      </w:r>
    </w:p>
    <w:p w:rsidR="00ED7FB7" w:rsidRPr="0030050A" w:rsidRDefault="00ED7FB7" w:rsidP="00ED7FB7">
      <w:pPr>
        <w:shd w:val="clear" w:color="auto" w:fill="FFFFFF"/>
        <w:spacing w:after="0" w:line="240" w:lineRule="auto"/>
        <w:rPr>
          <w:rFonts w:eastAsia="Times New Roman"/>
          <w:color w:val="000000"/>
          <w:sz w:val="24"/>
          <w:szCs w:val="24"/>
          <w:lang w:eastAsia="pl-PL"/>
        </w:rPr>
      </w:pPr>
      <w:proofErr w:type="spellStart"/>
      <w:r w:rsidRPr="0030050A">
        <w:rPr>
          <w:rFonts w:eastAsia="Times New Roman"/>
          <w:color w:val="000000"/>
          <w:sz w:val="24"/>
          <w:szCs w:val="24"/>
          <w:lang w:eastAsia="pl-PL"/>
        </w:rPr>
        <w:t>disodu</w:t>
      </w:r>
      <w:proofErr w:type="spellEnd"/>
      <w:r w:rsidRPr="0030050A">
        <w:rPr>
          <w:rFonts w:eastAsia="Times New Roman"/>
          <w:color w:val="000000"/>
          <w:sz w:val="24"/>
          <w:szCs w:val="24"/>
          <w:lang w:eastAsia="pl-PL"/>
        </w:rPr>
        <w:t xml:space="preserve"> fosforan dwunastowodny (</w:t>
      </w:r>
      <w:proofErr w:type="spellStart"/>
      <w:r w:rsidRPr="0030050A">
        <w:rPr>
          <w:rFonts w:eastAsia="Times New Roman"/>
          <w:i/>
          <w:iCs/>
          <w:color w:val="000000"/>
          <w:sz w:val="24"/>
          <w:szCs w:val="24"/>
          <w:lang w:eastAsia="pl-PL"/>
        </w:rPr>
        <w:t>Dinatrii</w:t>
      </w:r>
      <w:proofErr w:type="spellEnd"/>
      <w:r w:rsidRPr="0030050A">
        <w:rPr>
          <w:rFonts w:eastAsia="Times New Roman"/>
          <w:i/>
          <w:iCs/>
          <w:color w:val="000000"/>
          <w:sz w:val="24"/>
          <w:szCs w:val="24"/>
          <w:lang w:eastAsia="pl-PL"/>
        </w:rPr>
        <w:t xml:space="preserve"> </w:t>
      </w:r>
      <w:proofErr w:type="spellStart"/>
      <w:r w:rsidRPr="0030050A">
        <w:rPr>
          <w:rFonts w:eastAsia="Times New Roman"/>
          <w:i/>
          <w:iCs/>
          <w:color w:val="000000"/>
          <w:sz w:val="24"/>
          <w:szCs w:val="24"/>
          <w:lang w:eastAsia="pl-PL"/>
        </w:rPr>
        <w:t>phosphas</w:t>
      </w:r>
      <w:proofErr w:type="spellEnd"/>
      <w:r w:rsidRPr="0030050A">
        <w:rPr>
          <w:rFonts w:eastAsia="Times New Roman"/>
          <w:i/>
          <w:iCs/>
          <w:color w:val="000000"/>
          <w:sz w:val="24"/>
          <w:szCs w:val="24"/>
          <w:lang w:eastAsia="pl-PL"/>
        </w:rPr>
        <w:t xml:space="preserve"> </w:t>
      </w:r>
      <w:proofErr w:type="spellStart"/>
      <w:r w:rsidRPr="0030050A">
        <w:rPr>
          <w:rFonts w:eastAsia="Times New Roman"/>
          <w:i/>
          <w:iCs/>
          <w:color w:val="000000"/>
          <w:sz w:val="24"/>
          <w:szCs w:val="24"/>
          <w:lang w:eastAsia="pl-PL"/>
        </w:rPr>
        <w:t>dodecahydricus</w:t>
      </w:r>
      <w:proofErr w:type="spellEnd"/>
      <w:r w:rsidRPr="0030050A">
        <w:rPr>
          <w:rFonts w:eastAsia="Times New Roman"/>
          <w:color w:val="000000"/>
          <w:sz w:val="24"/>
          <w:szCs w:val="24"/>
          <w:lang w:eastAsia="pl-PL"/>
        </w:rPr>
        <w:t>) 5 g / 100 ml</w:t>
      </w:r>
    </w:p>
    <w:p w:rsidR="00ED7FB7" w:rsidRPr="0030050A" w:rsidRDefault="00ED7FB7" w:rsidP="00ED7FB7">
      <w:pPr>
        <w:shd w:val="clear" w:color="auto" w:fill="FFFFFF"/>
        <w:spacing w:after="0" w:line="240" w:lineRule="auto"/>
        <w:rPr>
          <w:rFonts w:eastAsia="Times New Roman"/>
          <w:color w:val="000000"/>
          <w:sz w:val="24"/>
          <w:szCs w:val="24"/>
          <w:lang w:eastAsia="pl-PL"/>
        </w:rPr>
      </w:pPr>
      <w:r w:rsidRPr="0030050A">
        <w:rPr>
          <w:rFonts w:eastAsia="Times New Roman"/>
          <w:color w:val="000000"/>
          <w:sz w:val="24"/>
          <w:szCs w:val="24"/>
          <w:lang w:eastAsia="pl-PL"/>
        </w:rPr>
        <w:t>Opakowania zbiorcze – karton x 20 butelek LZ – w przeliczeniu na opakowania jednostkowe.</w:t>
      </w:r>
    </w:p>
    <w:p w:rsidR="00ED7FB7" w:rsidRDefault="00ED7FB7"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0D3FAC" w:rsidRDefault="000D3FAC" w:rsidP="00ED7FB7">
      <w:pPr>
        <w:widowControl w:val="0"/>
        <w:suppressAutoHyphens/>
        <w:spacing w:after="0" w:line="240" w:lineRule="auto"/>
        <w:ind w:right="567"/>
        <w:jc w:val="both"/>
        <w:rPr>
          <w:rFonts w:ascii="Arial" w:hAnsi="Arial" w:cs="Arial"/>
          <w:sz w:val="20"/>
          <w:szCs w:val="20"/>
        </w:rPr>
      </w:pPr>
    </w:p>
    <w:p w:rsidR="00ED7FB7" w:rsidRDefault="00ED7FB7" w:rsidP="00ED7FB7">
      <w:pPr>
        <w:spacing w:after="0" w:line="240" w:lineRule="auto"/>
        <w:rPr>
          <w:rFonts w:ascii="Verdana" w:hAnsi="Verdana"/>
          <w:b/>
          <w:sz w:val="20"/>
          <w:szCs w:val="20"/>
          <w:lang w:eastAsia="pl-PL"/>
        </w:rPr>
      </w:pPr>
      <w:r>
        <w:rPr>
          <w:rFonts w:ascii="Verdana" w:hAnsi="Verdana"/>
          <w:b/>
          <w:sz w:val="20"/>
          <w:szCs w:val="20"/>
          <w:lang w:eastAsia="pl-PL"/>
        </w:rPr>
        <w:t>Pytania  10:</w:t>
      </w:r>
    </w:p>
    <w:p w:rsidR="00ED7FB7" w:rsidRPr="00ED7FB7" w:rsidRDefault="00ED7FB7" w:rsidP="00ED7FB7">
      <w:pPr>
        <w:autoSpaceDE w:val="0"/>
        <w:autoSpaceDN w:val="0"/>
        <w:adjustRightInd w:val="0"/>
        <w:spacing w:after="0" w:line="240" w:lineRule="auto"/>
        <w:rPr>
          <w:rFonts w:ascii="Times New Roman" w:hAnsi="Times New Roman"/>
          <w:color w:val="000000"/>
          <w:sz w:val="23"/>
          <w:szCs w:val="23"/>
          <w:lang w:eastAsia="pl-PL"/>
        </w:rPr>
      </w:pPr>
      <w:r w:rsidRPr="00ED7FB7">
        <w:rPr>
          <w:rFonts w:ascii="Times New Roman" w:hAnsi="Times New Roman"/>
          <w:bCs/>
          <w:color w:val="000000"/>
          <w:sz w:val="23"/>
          <w:szCs w:val="23"/>
          <w:lang w:eastAsia="pl-PL"/>
        </w:rPr>
        <w:t>1.</w:t>
      </w:r>
      <w:r w:rsidRPr="00ED7FB7">
        <w:rPr>
          <w:rFonts w:ascii="Times New Roman" w:hAnsi="Times New Roman"/>
          <w:b/>
          <w:bCs/>
          <w:color w:val="000000"/>
          <w:sz w:val="23"/>
          <w:szCs w:val="23"/>
          <w:lang w:eastAsia="pl-PL"/>
        </w:rPr>
        <w:t xml:space="preserve"> </w:t>
      </w:r>
      <w:r w:rsidRPr="00ED7FB7">
        <w:rPr>
          <w:rFonts w:ascii="Times New Roman" w:hAnsi="Times New Roman"/>
          <w:color w:val="000000"/>
          <w:sz w:val="23"/>
          <w:szCs w:val="23"/>
          <w:lang w:eastAsia="pl-PL"/>
        </w:rPr>
        <w:t xml:space="preserve">Czy Zamawiający wyrazi zgodę w pakiecie nr 123 pozycja 1 i 2 na zaoferowanie tej samej całkowitej ilości fiolek w opakowaniach zawierających po 4 fiolki z substancją czynna (120 </w:t>
      </w:r>
      <w:proofErr w:type="spellStart"/>
      <w:r w:rsidRPr="00ED7FB7">
        <w:rPr>
          <w:rFonts w:ascii="Times New Roman" w:hAnsi="Times New Roman"/>
          <w:color w:val="000000"/>
          <w:sz w:val="23"/>
          <w:szCs w:val="23"/>
          <w:lang w:eastAsia="pl-PL"/>
        </w:rPr>
        <w:t>mcg</w:t>
      </w:r>
      <w:proofErr w:type="spellEnd"/>
      <w:r w:rsidRPr="00ED7FB7">
        <w:rPr>
          <w:rFonts w:ascii="Times New Roman" w:hAnsi="Times New Roman"/>
          <w:color w:val="000000"/>
          <w:sz w:val="23"/>
          <w:szCs w:val="23"/>
          <w:lang w:eastAsia="pl-PL"/>
        </w:rPr>
        <w:t xml:space="preserve"> jadu owada) i 4 fiolki z rozpuszczalnikiem po 5 ml? </w:t>
      </w:r>
    </w:p>
    <w:p w:rsidR="00ED7FB7" w:rsidRPr="00ED7FB7" w:rsidRDefault="00ED7FB7" w:rsidP="00ED7FB7">
      <w:pPr>
        <w:autoSpaceDE w:val="0"/>
        <w:autoSpaceDN w:val="0"/>
        <w:adjustRightInd w:val="0"/>
        <w:spacing w:after="0" w:line="240" w:lineRule="auto"/>
        <w:rPr>
          <w:rFonts w:ascii="Times New Roman" w:hAnsi="Times New Roman"/>
          <w:color w:val="000000"/>
          <w:sz w:val="23"/>
          <w:szCs w:val="23"/>
          <w:lang w:eastAsia="pl-PL"/>
        </w:rPr>
      </w:pPr>
      <w:r w:rsidRPr="00ED7FB7">
        <w:rPr>
          <w:rFonts w:ascii="Times New Roman" w:hAnsi="Times New Roman"/>
          <w:color w:val="000000"/>
          <w:sz w:val="23"/>
          <w:szCs w:val="23"/>
          <w:lang w:eastAsia="pl-PL"/>
        </w:rPr>
        <w:t xml:space="preserve">2. Czy Zamawiający w pakiecie nr 123 pozycja nr 3 wyrazi zgodę na zaoferowanie tej samej całkowitej ilości fiolek z rozpuszczalnikiem po 5 ml? </w:t>
      </w:r>
    </w:p>
    <w:p w:rsidR="00ED7FB7" w:rsidRDefault="00ED7FB7"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ED7FB7" w:rsidRDefault="00ED7FB7"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r>
        <w:rPr>
          <w:rFonts w:ascii="Verdana" w:hAnsi="Verdana"/>
          <w:b/>
          <w:sz w:val="20"/>
          <w:szCs w:val="20"/>
          <w:lang w:eastAsia="pl-PL"/>
        </w:rPr>
        <w:t>Pytania  11:</w:t>
      </w:r>
    </w:p>
    <w:p w:rsidR="00ED7FB7" w:rsidRPr="000160A9" w:rsidRDefault="00ED7FB7" w:rsidP="00ED7FB7">
      <w:pPr>
        <w:numPr>
          <w:ilvl w:val="0"/>
          <w:numId w:val="13"/>
        </w:numPr>
        <w:shd w:val="clear" w:color="auto" w:fill="FFFFFF"/>
        <w:spacing w:after="0" w:line="240" w:lineRule="auto"/>
        <w:rPr>
          <w:rFonts w:ascii="Verdana" w:eastAsia="Times New Roman" w:hAnsi="Verdana"/>
          <w:color w:val="000000"/>
          <w:sz w:val="18"/>
          <w:szCs w:val="18"/>
          <w:lang w:eastAsia="pl-PL"/>
        </w:rPr>
      </w:pPr>
      <w:r w:rsidRPr="000160A9">
        <w:rPr>
          <w:rFonts w:ascii="Verdana" w:eastAsia="Times New Roman" w:hAnsi="Verdana"/>
          <w:color w:val="000000"/>
          <w:sz w:val="18"/>
          <w:szCs w:val="18"/>
          <w:lang w:eastAsia="pl-PL"/>
        </w:rPr>
        <w:t>Czy Zamawiający dopuści  produkt </w:t>
      </w:r>
      <w:proofErr w:type="spellStart"/>
      <w:r w:rsidRPr="000160A9">
        <w:rPr>
          <w:rFonts w:ascii="Verdana" w:eastAsia="Times New Roman" w:hAnsi="Verdana"/>
          <w:color w:val="000000"/>
          <w:sz w:val="18"/>
          <w:szCs w:val="18"/>
          <w:lang w:eastAsia="pl-PL"/>
        </w:rPr>
        <w:t>Citra-Lock</w:t>
      </w:r>
      <w:proofErr w:type="spellEnd"/>
      <w:r w:rsidRPr="000160A9">
        <w:rPr>
          <w:rFonts w:ascii="Verdana" w:eastAsia="Times New Roman" w:hAnsi="Verdana"/>
          <w:color w:val="000000"/>
          <w:sz w:val="18"/>
          <w:szCs w:val="18"/>
          <w:lang w:eastAsia="pl-PL"/>
        </w:rPr>
        <w:t xml:space="preserve">™ ( cytrynian sodu ) w stężeniu 4% w postaci bezigłowej ampułki x 5ml  z systemem </w:t>
      </w:r>
      <w:proofErr w:type="spellStart"/>
      <w:r w:rsidRPr="000160A9">
        <w:rPr>
          <w:rFonts w:ascii="Verdana" w:eastAsia="Times New Roman" w:hAnsi="Verdana"/>
          <w:color w:val="000000"/>
          <w:sz w:val="18"/>
          <w:szCs w:val="18"/>
          <w:lang w:eastAsia="pl-PL"/>
        </w:rPr>
        <w:t>Luer</w:t>
      </w:r>
      <w:proofErr w:type="spellEnd"/>
      <w:r w:rsidRPr="000160A9">
        <w:rPr>
          <w:rFonts w:ascii="Verdana" w:eastAsia="Times New Roman" w:hAnsi="Verdana"/>
          <w:color w:val="000000"/>
          <w:sz w:val="18"/>
          <w:szCs w:val="18"/>
          <w:lang w:eastAsia="pl-PL"/>
        </w:rPr>
        <w:t xml:space="preserve"> Slip, </w:t>
      </w:r>
      <w:proofErr w:type="spellStart"/>
      <w:r w:rsidRPr="000160A9">
        <w:rPr>
          <w:rFonts w:ascii="Verdana" w:eastAsia="Times New Roman" w:hAnsi="Verdana"/>
          <w:color w:val="000000"/>
          <w:sz w:val="18"/>
          <w:szCs w:val="18"/>
          <w:lang w:eastAsia="pl-PL"/>
        </w:rPr>
        <w:t>Luer</w:t>
      </w:r>
      <w:proofErr w:type="spellEnd"/>
      <w:r w:rsidRPr="000160A9">
        <w:rPr>
          <w:rFonts w:ascii="Verdana" w:eastAsia="Times New Roman" w:hAnsi="Verdana"/>
          <w:color w:val="000000"/>
          <w:sz w:val="18"/>
          <w:szCs w:val="18"/>
          <w:lang w:eastAsia="pl-PL"/>
        </w:rPr>
        <w:t xml:space="preserve"> Lock skuteczność potwierdzona wieloma badaniami klinicznymi w porównaniu  do Heparyny, stosowany w celu utrzymania prawidłowej drożności cewnika i/lub portu dożylnego ograniczając krwawienia ( pacjenci z HIT ), stosowany  jako skuteczne i bezpieczne rozwiązanie przeciwzakrzepowe i przeciwbakteryjne?</w:t>
      </w:r>
    </w:p>
    <w:p w:rsidR="00ED7FB7" w:rsidRPr="000160A9" w:rsidRDefault="00ED7FB7" w:rsidP="00ED7FB7">
      <w:pPr>
        <w:numPr>
          <w:ilvl w:val="0"/>
          <w:numId w:val="13"/>
        </w:numPr>
        <w:shd w:val="clear" w:color="auto" w:fill="FFFFFF"/>
        <w:spacing w:after="0" w:line="240" w:lineRule="auto"/>
        <w:rPr>
          <w:rFonts w:ascii="Verdana" w:eastAsia="Times New Roman" w:hAnsi="Verdana"/>
          <w:color w:val="000000"/>
          <w:sz w:val="18"/>
          <w:szCs w:val="18"/>
          <w:lang w:eastAsia="pl-PL"/>
        </w:rPr>
      </w:pPr>
      <w:r w:rsidRPr="000160A9">
        <w:rPr>
          <w:rFonts w:ascii="Verdana" w:eastAsia="Times New Roman" w:hAnsi="Verdana"/>
          <w:color w:val="000000"/>
          <w:sz w:val="18"/>
          <w:szCs w:val="18"/>
          <w:lang w:eastAsia="pl-PL"/>
        </w:rPr>
        <w:t>Czy Zamawiający dopuści produkt o pojemności 5 ml  pakowany po 20 szt. w kartonie z przeliczeniem zamawianej ilości?  </w:t>
      </w:r>
    </w:p>
    <w:p w:rsidR="00ED7FB7" w:rsidRPr="000160A9" w:rsidRDefault="00ED7FB7" w:rsidP="00ED7FB7">
      <w:pPr>
        <w:shd w:val="clear" w:color="auto" w:fill="FFFFFF"/>
        <w:spacing w:after="0" w:line="240" w:lineRule="auto"/>
        <w:rPr>
          <w:rFonts w:ascii="Verdana" w:eastAsia="Times New Roman" w:hAnsi="Verdana"/>
          <w:color w:val="000000"/>
          <w:sz w:val="18"/>
          <w:szCs w:val="18"/>
          <w:lang w:eastAsia="pl-PL"/>
        </w:rPr>
      </w:pPr>
      <w:r w:rsidRPr="000160A9">
        <w:rPr>
          <w:rFonts w:ascii="Verdana" w:eastAsia="Times New Roman" w:hAnsi="Verdana"/>
          <w:color w:val="000000"/>
          <w:sz w:val="18"/>
          <w:szCs w:val="18"/>
          <w:lang w:eastAsia="pl-PL"/>
        </w:rPr>
        <w:t>Szczegółowe informacje o produkcie w załączeniu.</w:t>
      </w:r>
    </w:p>
    <w:p w:rsidR="00ED7FB7" w:rsidRDefault="00ED7FB7" w:rsidP="00ED7FB7">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ED7FB7" w:rsidRDefault="00ED7FB7"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r>
        <w:rPr>
          <w:rFonts w:ascii="Verdana" w:hAnsi="Verdana"/>
          <w:b/>
          <w:sz w:val="20"/>
          <w:szCs w:val="20"/>
          <w:lang w:eastAsia="pl-PL"/>
        </w:rPr>
        <w:t>Pytania  12:</w:t>
      </w:r>
    </w:p>
    <w:p w:rsidR="00ED7FB7" w:rsidRPr="00ED7FB7" w:rsidRDefault="00ED7FB7" w:rsidP="00ED7FB7">
      <w:pPr>
        <w:autoSpaceDE w:val="0"/>
        <w:autoSpaceDN w:val="0"/>
        <w:adjustRightInd w:val="0"/>
        <w:spacing w:after="0" w:line="240" w:lineRule="auto"/>
        <w:rPr>
          <w:rFonts w:ascii="Cambria" w:hAnsi="Cambria"/>
          <w:sz w:val="23"/>
          <w:szCs w:val="23"/>
          <w:lang w:eastAsia="pl-PL"/>
        </w:rPr>
      </w:pPr>
      <w:r w:rsidRPr="00ED7FB7">
        <w:rPr>
          <w:rFonts w:ascii="Cambria" w:hAnsi="Cambria"/>
          <w:sz w:val="24"/>
          <w:szCs w:val="24"/>
          <w:lang w:eastAsia="pl-PL"/>
        </w:rPr>
        <w:t xml:space="preserve"> </w:t>
      </w:r>
      <w:r w:rsidRPr="00ED7FB7">
        <w:rPr>
          <w:rFonts w:ascii="Cambria" w:hAnsi="Cambria"/>
          <w:sz w:val="23"/>
          <w:szCs w:val="23"/>
          <w:lang w:eastAsia="pl-PL"/>
        </w:rPr>
        <w:t xml:space="preserve">Dotyczy zadania nr 60 poz. 271: </w:t>
      </w:r>
    </w:p>
    <w:p w:rsidR="00ED7FB7" w:rsidRPr="00ED7FB7" w:rsidRDefault="00ED7FB7" w:rsidP="00ED7FB7">
      <w:pPr>
        <w:autoSpaceDE w:val="0"/>
        <w:autoSpaceDN w:val="0"/>
        <w:adjustRightInd w:val="0"/>
        <w:spacing w:after="0" w:line="240" w:lineRule="auto"/>
        <w:rPr>
          <w:rFonts w:ascii="Cambria" w:hAnsi="Cambria" w:cs="Cambria"/>
          <w:lang w:eastAsia="pl-PL"/>
        </w:rPr>
      </w:pPr>
      <w:r w:rsidRPr="00ED7FB7">
        <w:rPr>
          <w:rFonts w:ascii="Times New Roman" w:hAnsi="Times New Roman"/>
          <w:lang w:eastAsia="pl-PL"/>
        </w:rPr>
        <w:t xml:space="preserve">1. Czy ze względu na aspekt </w:t>
      </w:r>
      <w:proofErr w:type="spellStart"/>
      <w:r w:rsidRPr="00ED7FB7">
        <w:rPr>
          <w:rFonts w:ascii="Times New Roman" w:hAnsi="Times New Roman"/>
          <w:lang w:eastAsia="pl-PL"/>
        </w:rPr>
        <w:t>farmakoekonomiczny</w:t>
      </w:r>
      <w:proofErr w:type="spellEnd"/>
      <w:r w:rsidRPr="00ED7FB7">
        <w:rPr>
          <w:rFonts w:ascii="Times New Roman" w:hAnsi="Times New Roman"/>
          <w:lang w:eastAsia="pl-PL"/>
        </w:rPr>
        <w:t xml:space="preserve"> Zamawiający wymaga zaoferowania kwasu </w:t>
      </w:r>
      <w:proofErr w:type="spellStart"/>
      <w:r w:rsidRPr="00ED7FB7">
        <w:rPr>
          <w:rFonts w:ascii="Times New Roman" w:hAnsi="Times New Roman"/>
          <w:lang w:eastAsia="pl-PL"/>
        </w:rPr>
        <w:t>zoledronowego</w:t>
      </w:r>
      <w:proofErr w:type="spellEnd"/>
      <w:r w:rsidRPr="00ED7FB7">
        <w:rPr>
          <w:rFonts w:ascii="Times New Roman" w:hAnsi="Times New Roman"/>
          <w:lang w:eastAsia="pl-PL"/>
        </w:rPr>
        <w:t xml:space="preserve"> w postaci wygodnego w przygotowaniu, dającego możliwość skrócenia czasu przygotowania roztworu do infuzji 4 mg/100 ml? </w:t>
      </w:r>
    </w:p>
    <w:p w:rsidR="00ED7FB7" w:rsidRPr="00ED7FB7" w:rsidRDefault="00ED7FB7" w:rsidP="00ED7FB7">
      <w:pPr>
        <w:autoSpaceDE w:val="0"/>
        <w:autoSpaceDN w:val="0"/>
        <w:adjustRightInd w:val="0"/>
        <w:spacing w:after="0" w:line="240" w:lineRule="auto"/>
        <w:rPr>
          <w:rFonts w:ascii="Cambria" w:hAnsi="Cambria" w:cs="Cambria"/>
          <w:lang w:eastAsia="pl-PL"/>
        </w:rPr>
      </w:pPr>
      <w:r w:rsidRPr="00ED7FB7">
        <w:rPr>
          <w:rFonts w:ascii="Times New Roman" w:hAnsi="Times New Roman"/>
          <w:lang w:eastAsia="pl-PL"/>
        </w:rPr>
        <w:t xml:space="preserve">2. Czy Zamawiający wyraża zgodę na wydzielenie z zadania 60 pozycji 271 </w:t>
      </w:r>
      <w:proofErr w:type="spellStart"/>
      <w:r w:rsidRPr="00ED7FB7">
        <w:rPr>
          <w:rFonts w:ascii="Times New Roman" w:hAnsi="Times New Roman"/>
          <w:lang w:eastAsia="pl-PL"/>
        </w:rPr>
        <w:t>acidum</w:t>
      </w:r>
      <w:proofErr w:type="spellEnd"/>
      <w:r w:rsidRPr="00ED7FB7">
        <w:rPr>
          <w:rFonts w:ascii="Times New Roman" w:hAnsi="Times New Roman"/>
          <w:lang w:eastAsia="pl-PL"/>
        </w:rPr>
        <w:t xml:space="preserve"> </w:t>
      </w:r>
      <w:proofErr w:type="spellStart"/>
      <w:r w:rsidRPr="00ED7FB7">
        <w:rPr>
          <w:rFonts w:ascii="Times New Roman" w:hAnsi="Times New Roman"/>
          <w:lang w:eastAsia="pl-PL"/>
        </w:rPr>
        <w:t>zoledronicum</w:t>
      </w:r>
      <w:proofErr w:type="spellEnd"/>
      <w:r w:rsidRPr="00ED7FB7">
        <w:rPr>
          <w:rFonts w:ascii="Times New Roman" w:hAnsi="Times New Roman"/>
          <w:lang w:eastAsia="pl-PL"/>
        </w:rPr>
        <w:t xml:space="preserve">? </w:t>
      </w:r>
    </w:p>
    <w:p w:rsidR="00ED7FB7" w:rsidRDefault="00ED7FB7" w:rsidP="00ED7FB7">
      <w:pPr>
        <w:autoSpaceDE w:val="0"/>
        <w:autoSpaceDN w:val="0"/>
        <w:spacing w:after="0" w:line="240" w:lineRule="auto"/>
        <w:jc w:val="both"/>
        <w:rPr>
          <w:rFonts w:ascii="Verdana" w:hAnsi="Verdana" w:cs="Tahoma"/>
          <w:b/>
          <w:sz w:val="20"/>
          <w:szCs w:val="20"/>
        </w:rPr>
      </w:pPr>
      <w:r>
        <w:rPr>
          <w:rFonts w:ascii="Verdana" w:hAnsi="Verdana" w:cs="Tahoma"/>
          <w:b/>
          <w:sz w:val="20"/>
          <w:szCs w:val="20"/>
        </w:rPr>
        <w:t>Odpowiedzi:</w:t>
      </w:r>
    </w:p>
    <w:p w:rsidR="00ED7FB7" w:rsidRDefault="00ED7FB7" w:rsidP="00ED7FB7">
      <w:pPr>
        <w:autoSpaceDE w:val="0"/>
        <w:autoSpaceDN w:val="0"/>
        <w:spacing w:after="0" w:line="240" w:lineRule="auto"/>
        <w:jc w:val="both"/>
        <w:rPr>
          <w:rFonts w:ascii="Verdana" w:hAnsi="Verdana" w:cs="Tahoma"/>
          <w:b/>
          <w:sz w:val="20"/>
          <w:szCs w:val="20"/>
        </w:rPr>
      </w:pPr>
      <w:r>
        <w:rPr>
          <w:rFonts w:ascii="Verdana" w:hAnsi="Verdana" w:cs="Tahoma"/>
          <w:b/>
          <w:sz w:val="20"/>
          <w:szCs w:val="20"/>
        </w:rPr>
        <w:t>Ad 1 – Zamawiający dopuszcza.</w:t>
      </w:r>
    </w:p>
    <w:p w:rsidR="00ED7FB7" w:rsidRDefault="00ED7FB7" w:rsidP="00ED7FB7">
      <w:pPr>
        <w:autoSpaceDE w:val="0"/>
        <w:autoSpaceDN w:val="0"/>
        <w:spacing w:after="0" w:line="240" w:lineRule="auto"/>
        <w:jc w:val="both"/>
        <w:rPr>
          <w:rFonts w:ascii="Times New Roman" w:hAnsi="Times New Roman"/>
          <w:color w:val="000000"/>
          <w:u w:val="single"/>
        </w:rPr>
      </w:pPr>
      <w:r>
        <w:rPr>
          <w:rFonts w:ascii="Verdana" w:hAnsi="Verdana" w:cs="Arial"/>
          <w:b/>
          <w:sz w:val="20"/>
          <w:szCs w:val="20"/>
        </w:rPr>
        <w:t>Ad 2 - Zamawiający pozostawia zapisy SIWZ bez zmian.</w:t>
      </w:r>
    </w:p>
    <w:p w:rsidR="00ED7FB7" w:rsidRDefault="00ED7FB7"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p>
    <w:p w:rsidR="00ED7FB7" w:rsidRPr="000D3FAC" w:rsidRDefault="00ED7FB7" w:rsidP="00ED7FB7">
      <w:pPr>
        <w:widowControl w:val="0"/>
        <w:suppressAutoHyphens/>
        <w:spacing w:after="0" w:line="240" w:lineRule="auto"/>
        <w:ind w:right="567"/>
        <w:jc w:val="both"/>
        <w:rPr>
          <w:rFonts w:ascii="Arial" w:hAnsi="Arial" w:cs="Arial"/>
          <w:sz w:val="20"/>
          <w:szCs w:val="20"/>
        </w:rPr>
      </w:pPr>
    </w:p>
    <w:sectPr w:rsidR="00ED7FB7" w:rsidRPr="000D3FAC" w:rsidSect="000E0929">
      <w:headerReference w:type="default" r:id="rId8"/>
      <w:footerReference w:type="default" r:id="rId9"/>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041" w:rsidRDefault="00DD0041" w:rsidP="00F92ECB">
      <w:pPr>
        <w:spacing w:after="0" w:line="240" w:lineRule="auto"/>
      </w:pPr>
      <w:r>
        <w:separator/>
      </w:r>
    </w:p>
  </w:endnote>
  <w:endnote w:type="continuationSeparator" w:id="0">
    <w:p w:rsidR="00DD0041" w:rsidRDefault="00DD0041"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041" w:rsidRDefault="00DD0041">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041" w:rsidRDefault="00DD0041" w:rsidP="00F92ECB">
      <w:pPr>
        <w:spacing w:after="0" w:line="240" w:lineRule="auto"/>
      </w:pPr>
      <w:r>
        <w:separator/>
      </w:r>
    </w:p>
  </w:footnote>
  <w:footnote w:type="continuationSeparator" w:id="0">
    <w:p w:rsidR="00DD0041" w:rsidRDefault="00DD0041"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041" w:rsidRDefault="00DD0041">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608A4BE3"/>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62FF2E5D"/>
    <w:multiLevelType w:val="multilevel"/>
    <w:tmpl w:val="D99C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350DC"/>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6FD0532B"/>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7F6B019E"/>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6"/>
  </w:num>
  <w:num w:numId="8">
    <w:abstractNumId w:val="5"/>
  </w:num>
  <w:num w:numId="9">
    <w:abstractNumId w:val="1"/>
  </w:num>
  <w:num w:numId="10">
    <w:abstractNumId w:val="7"/>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1985"/>
  </w:hdrShapeDefaults>
  <w:footnotePr>
    <w:footnote w:id="-1"/>
    <w:footnote w:id="0"/>
  </w:footnotePr>
  <w:endnotePr>
    <w:endnote w:id="-1"/>
    <w:endnote w:id="0"/>
  </w:endnotePr>
  <w:compat/>
  <w:rsids>
    <w:rsidRoot w:val="00382AA3"/>
    <w:rsid w:val="000546BB"/>
    <w:rsid w:val="00056647"/>
    <w:rsid w:val="000A0BE4"/>
    <w:rsid w:val="000A24E4"/>
    <w:rsid w:val="000A65FE"/>
    <w:rsid w:val="000D3FAC"/>
    <w:rsid w:val="000E0929"/>
    <w:rsid w:val="000F07F7"/>
    <w:rsid w:val="000F24E5"/>
    <w:rsid w:val="001100BA"/>
    <w:rsid w:val="001430EA"/>
    <w:rsid w:val="001765F3"/>
    <w:rsid w:val="001D338B"/>
    <w:rsid w:val="001F48C0"/>
    <w:rsid w:val="00207AF3"/>
    <w:rsid w:val="00222BCC"/>
    <w:rsid w:val="0024442F"/>
    <w:rsid w:val="00266A1A"/>
    <w:rsid w:val="00273580"/>
    <w:rsid w:val="002755F5"/>
    <w:rsid w:val="00295BC9"/>
    <w:rsid w:val="002B6F4B"/>
    <w:rsid w:val="002D4198"/>
    <w:rsid w:val="002E6A4A"/>
    <w:rsid w:val="003552D0"/>
    <w:rsid w:val="00377213"/>
    <w:rsid w:val="00381813"/>
    <w:rsid w:val="00382AA3"/>
    <w:rsid w:val="00390D13"/>
    <w:rsid w:val="003D364C"/>
    <w:rsid w:val="003E65AC"/>
    <w:rsid w:val="003F74B1"/>
    <w:rsid w:val="004438E2"/>
    <w:rsid w:val="00454CDE"/>
    <w:rsid w:val="004570CB"/>
    <w:rsid w:val="00480DBE"/>
    <w:rsid w:val="004D6FB7"/>
    <w:rsid w:val="004E77E4"/>
    <w:rsid w:val="004F7089"/>
    <w:rsid w:val="005311DE"/>
    <w:rsid w:val="005407CA"/>
    <w:rsid w:val="0057267B"/>
    <w:rsid w:val="005B5FE6"/>
    <w:rsid w:val="005B7A86"/>
    <w:rsid w:val="005E40A7"/>
    <w:rsid w:val="005F4DE2"/>
    <w:rsid w:val="005F5F57"/>
    <w:rsid w:val="00600361"/>
    <w:rsid w:val="00605620"/>
    <w:rsid w:val="00611962"/>
    <w:rsid w:val="0062202D"/>
    <w:rsid w:val="00667B0D"/>
    <w:rsid w:val="00672DDB"/>
    <w:rsid w:val="006A4933"/>
    <w:rsid w:val="006C0800"/>
    <w:rsid w:val="006F5452"/>
    <w:rsid w:val="00726F0B"/>
    <w:rsid w:val="00770FC9"/>
    <w:rsid w:val="007A55B8"/>
    <w:rsid w:val="007A55F9"/>
    <w:rsid w:val="007D29FD"/>
    <w:rsid w:val="007D314C"/>
    <w:rsid w:val="007D3371"/>
    <w:rsid w:val="008160FD"/>
    <w:rsid w:val="00854AE2"/>
    <w:rsid w:val="00861898"/>
    <w:rsid w:val="0087411E"/>
    <w:rsid w:val="00880B83"/>
    <w:rsid w:val="008A0E89"/>
    <w:rsid w:val="008C1186"/>
    <w:rsid w:val="00920D00"/>
    <w:rsid w:val="009567B1"/>
    <w:rsid w:val="009B0855"/>
    <w:rsid w:val="009C4487"/>
    <w:rsid w:val="009D4604"/>
    <w:rsid w:val="009F2AB4"/>
    <w:rsid w:val="009F3FEA"/>
    <w:rsid w:val="00A06635"/>
    <w:rsid w:val="00A07AEC"/>
    <w:rsid w:val="00A13F84"/>
    <w:rsid w:val="00A314EA"/>
    <w:rsid w:val="00A34C33"/>
    <w:rsid w:val="00A5024F"/>
    <w:rsid w:val="00A52383"/>
    <w:rsid w:val="00A772C2"/>
    <w:rsid w:val="00AB3DDC"/>
    <w:rsid w:val="00AB7FDE"/>
    <w:rsid w:val="00B9752E"/>
    <w:rsid w:val="00BA794F"/>
    <w:rsid w:val="00BD5A44"/>
    <w:rsid w:val="00BF7E21"/>
    <w:rsid w:val="00C11453"/>
    <w:rsid w:val="00C2619B"/>
    <w:rsid w:val="00C35016"/>
    <w:rsid w:val="00C547B8"/>
    <w:rsid w:val="00C6162C"/>
    <w:rsid w:val="00C70D7A"/>
    <w:rsid w:val="00C87937"/>
    <w:rsid w:val="00CA2826"/>
    <w:rsid w:val="00CA635D"/>
    <w:rsid w:val="00CB7FFB"/>
    <w:rsid w:val="00CC12C0"/>
    <w:rsid w:val="00CC4D1D"/>
    <w:rsid w:val="00CD634D"/>
    <w:rsid w:val="00CF4EAC"/>
    <w:rsid w:val="00D11066"/>
    <w:rsid w:val="00D12B20"/>
    <w:rsid w:val="00D135B2"/>
    <w:rsid w:val="00D14362"/>
    <w:rsid w:val="00D4002D"/>
    <w:rsid w:val="00D5290F"/>
    <w:rsid w:val="00D64475"/>
    <w:rsid w:val="00D86100"/>
    <w:rsid w:val="00DA4BB2"/>
    <w:rsid w:val="00DD0041"/>
    <w:rsid w:val="00DD2207"/>
    <w:rsid w:val="00DD5E1A"/>
    <w:rsid w:val="00DE2F24"/>
    <w:rsid w:val="00E007B1"/>
    <w:rsid w:val="00E439FD"/>
    <w:rsid w:val="00E60ED4"/>
    <w:rsid w:val="00E845E5"/>
    <w:rsid w:val="00EA6155"/>
    <w:rsid w:val="00EB12FE"/>
    <w:rsid w:val="00ED7FB7"/>
    <w:rsid w:val="00EE360B"/>
    <w:rsid w:val="00F24AEB"/>
    <w:rsid w:val="00F70E90"/>
    <w:rsid w:val="00F84250"/>
    <w:rsid w:val="00F92ECB"/>
    <w:rsid w:val="00FA4BBB"/>
    <w:rsid w:val="00FA616E"/>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A4A"/>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basedOn w:val="Normalny"/>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rsid w:val="008A0E89"/>
    <w:rPr>
      <w:rFonts w:asciiTheme="majorHAnsi" w:eastAsiaTheme="majorEastAsia" w:hAnsiTheme="majorHAnsi" w:cstheme="majorBidi"/>
      <w:b/>
      <w:bCs/>
      <w:color w:val="5B9BD5"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107554146">
      <w:bodyDiv w:val="1"/>
      <w:marLeft w:val="0"/>
      <w:marRight w:val="0"/>
      <w:marTop w:val="0"/>
      <w:marBottom w:val="0"/>
      <w:divBdr>
        <w:top w:val="none" w:sz="0" w:space="0" w:color="auto"/>
        <w:left w:val="none" w:sz="0" w:space="0" w:color="auto"/>
        <w:bottom w:val="none" w:sz="0" w:space="0" w:color="auto"/>
        <w:right w:val="none" w:sz="0" w:space="0" w:color="auto"/>
      </w:divBdr>
    </w:div>
    <w:div w:id="135029452">
      <w:bodyDiv w:val="1"/>
      <w:marLeft w:val="0"/>
      <w:marRight w:val="0"/>
      <w:marTop w:val="0"/>
      <w:marBottom w:val="0"/>
      <w:divBdr>
        <w:top w:val="none" w:sz="0" w:space="0" w:color="auto"/>
        <w:left w:val="none" w:sz="0" w:space="0" w:color="auto"/>
        <w:bottom w:val="none" w:sz="0" w:space="0" w:color="auto"/>
        <w:right w:val="none" w:sz="0" w:space="0" w:color="auto"/>
      </w:divBdr>
    </w:div>
    <w:div w:id="230627187">
      <w:bodyDiv w:val="1"/>
      <w:marLeft w:val="0"/>
      <w:marRight w:val="0"/>
      <w:marTop w:val="0"/>
      <w:marBottom w:val="0"/>
      <w:divBdr>
        <w:top w:val="none" w:sz="0" w:space="0" w:color="auto"/>
        <w:left w:val="none" w:sz="0" w:space="0" w:color="auto"/>
        <w:bottom w:val="none" w:sz="0" w:space="0" w:color="auto"/>
        <w:right w:val="none" w:sz="0" w:space="0" w:color="auto"/>
      </w:divBdr>
    </w:div>
    <w:div w:id="284121774">
      <w:bodyDiv w:val="1"/>
      <w:marLeft w:val="0"/>
      <w:marRight w:val="0"/>
      <w:marTop w:val="0"/>
      <w:marBottom w:val="0"/>
      <w:divBdr>
        <w:top w:val="none" w:sz="0" w:space="0" w:color="auto"/>
        <w:left w:val="none" w:sz="0" w:space="0" w:color="auto"/>
        <w:bottom w:val="none" w:sz="0" w:space="0" w:color="auto"/>
        <w:right w:val="none" w:sz="0" w:space="0" w:color="auto"/>
      </w:divBdr>
    </w:div>
    <w:div w:id="448861649">
      <w:bodyDiv w:val="1"/>
      <w:marLeft w:val="0"/>
      <w:marRight w:val="0"/>
      <w:marTop w:val="0"/>
      <w:marBottom w:val="0"/>
      <w:divBdr>
        <w:top w:val="none" w:sz="0" w:space="0" w:color="auto"/>
        <w:left w:val="none" w:sz="0" w:space="0" w:color="auto"/>
        <w:bottom w:val="none" w:sz="0" w:space="0" w:color="auto"/>
        <w:right w:val="none" w:sz="0" w:space="0" w:color="auto"/>
      </w:divBdr>
    </w:div>
    <w:div w:id="560217668">
      <w:bodyDiv w:val="1"/>
      <w:marLeft w:val="0"/>
      <w:marRight w:val="0"/>
      <w:marTop w:val="0"/>
      <w:marBottom w:val="0"/>
      <w:divBdr>
        <w:top w:val="none" w:sz="0" w:space="0" w:color="auto"/>
        <w:left w:val="none" w:sz="0" w:space="0" w:color="auto"/>
        <w:bottom w:val="none" w:sz="0" w:space="0" w:color="auto"/>
        <w:right w:val="none" w:sz="0" w:space="0" w:color="auto"/>
      </w:divBdr>
    </w:div>
    <w:div w:id="600261144">
      <w:bodyDiv w:val="1"/>
      <w:marLeft w:val="0"/>
      <w:marRight w:val="0"/>
      <w:marTop w:val="0"/>
      <w:marBottom w:val="0"/>
      <w:divBdr>
        <w:top w:val="none" w:sz="0" w:space="0" w:color="auto"/>
        <w:left w:val="none" w:sz="0" w:space="0" w:color="auto"/>
        <w:bottom w:val="none" w:sz="0" w:space="0" w:color="auto"/>
        <w:right w:val="none" w:sz="0" w:space="0" w:color="auto"/>
      </w:divBdr>
    </w:div>
    <w:div w:id="602416293">
      <w:bodyDiv w:val="1"/>
      <w:marLeft w:val="0"/>
      <w:marRight w:val="0"/>
      <w:marTop w:val="0"/>
      <w:marBottom w:val="0"/>
      <w:divBdr>
        <w:top w:val="none" w:sz="0" w:space="0" w:color="auto"/>
        <w:left w:val="none" w:sz="0" w:space="0" w:color="auto"/>
        <w:bottom w:val="none" w:sz="0" w:space="0" w:color="auto"/>
        <w:right w:val="none" w:sz="0" w:space="0" w:color="auto"/>
      </w:divBdr>
    </w:div>
    <w:div w:id="632711455">
      <w:bodyDiv w:val="1"/>
      <w:marLeft w:val="0"/>
      <w:marRight w:val="0"/>
      <w:marTop w:val="0"/>
      <w:marBottom w:val="0"/>
      <w:divBdr>
        <w:top w:val="none" w:sz="0" w:space="0" w:color="auto"/>
        <w:left w:val="none" w:sz="0" w:space="0" w:color="auto"/>
        <w:bottom w:val="none" w:sz="0" w:space="0" w:color="auto"/>
        <w:right w:val="none" w:sz="0" w:space="0" w:color="auto"/>
      </w:divBdr>
    </w:div>
    <w:div w:id="656226378">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757288897">
      <w:bodyDiv w:val="1"/>
      <w:marLeft w:val="0"/>
      <w:marRight w:val="0"/>
      <w:marTop w:val="0"/>
      <w:marBottom w:val="0"/>
      <w:divBdr>
        <w:top w:val="none" w:sz="0" w:space="0" w:color="auto"/>
        <w:left w:val="none" w:sz="0" w:space="0" w:color="auto"/>
        <w:bottom w:val="none" w:sz="0" w:space="0" w:color="auto"/>
        <w:right w:val="none" w:sz="0" w:space="0" w:color="auto"/>
      </w:divBdr>
    </w:div>
    <w:div w:id="854534382">
      <w:bodyDiv w:val="1"/>
      <w:marLeft w:val="0"/>
      <w:marRight w:val="0"/>
      <w:marTop w:val="0"/>
      <w:marBottom w:val="0"/>
      <w:divBdr>
        <w:top w:val="none" w:sz="0" w:space="0" w:color="auto"/>
        <w:left w:val="none" w:sz="0" w:space="0" w:color="auto"/>
        <w:bottom w:val="none" w:sz="0" w:space="0" w:color="auto"/>
        <w:right w:val="none" w:sz="0" w:space="0" w:color="auto"/>
      </w:divBdr>
    </w:div>
    <w:div w:id="865797761">
      <w:bodyDiv w:val="1"/>
      <w:marLeft w:val="0"/>
      <w:marRight w:val="0"/>
      <w:marTop w:val="0"/>
      <w:marBottom w:val="0"/>
      <w:divBdr>
        <w:top w:val="none" w:sz="0" w:space="0" w:color="auto"/>
        <w:left w:val="none" w:sz="0" w:space="0" w:color="auto"/>
        <w:bottom w:val="none" w:sz="0" w:space="0" w:color="auto"/>
        <w:right w:val="none" w:sz="0" w:space="0" w:color="auto"/>
      </w:divBdr>
    </w:div>
    <w:div w:id="939484637">
      <w:bodyDiv w:val="1"/>
      <w:marLeft w:val="0"/>
      <w:marRight w:val="0"/>
      <w:marTop w:val="0"/>
      <w:marBottom w:val="0"/>
      <w:divBdr>
        <w:top w:val="none" w:sz="0" w:space="0" w:color="auto"/>
        <w:left w:val="none" w:sz="0" w:space="0" w:color="auto"/>
        <w:bottom w:val="none" w:sz="0" w:space="0" w:color="auto"/>
        <w:right w:val="none" w:sz="0" w:space="0" w:color="auto"/>
      </w:divBdr>
    </w:div>
    <w:div w:id="1087654908">
      <w:bodyDiv w:val="1"/>
      <w:marLeft w:val="0"/>
      <w:marRight w:val="0"/>
      <w:marTop w:val="0"/>
      <w:marBottom w:val="0"/>
      <w:divBdr>
        <w:top w:val="none" w:sz="0" w:space="0" w:color="auto"/>
        <w:left w:val="none" w:sz="0" w:space="0" w:color="auto"/>
        <w:bottom w:val="none" w:sz="0" w:space="0" w:color="auto"/>
        <w:right w:val="none" w:sz="0" w:space="0" w:color="auto"/>
      </w:divBdr>
    </w:div>
    <w:div w:id="1106121798">
      <w:bodyDiv w:val="1"/>
      <w:marLeft w:val="0"/>
      <w:marRight w:val="0"/>
      <w:marTop w:val="0"/>
      <w:marBottom w:val="0"/>
      <w:divBdr>
        <w:top w:val="none" w:sz="0" w:space="0" w:color="auto"/>
        <w:left w:val="none" w:sz="0" w:space="0" w:color="auto"/>
        <w:bottom w:val="none" w:sz="0" w:space="0" w:color="auto"/>
        <w:right w:val="none" w:sz="0" w:space="0" w:color="auto"/>
      </w:divBdr>
    </w:div>
    <w:div w:id="1484279376">
      <w:bodyDiv w:val="1"/>
      <w:marLeft w:val="0"/>
      <w:marRight w:val="0"/>
      <w:marTop w:val="0"/>
      <w:marBottom w:val="0"/>
      <w:divBdr>
        <w:top w:val="none" w:sz="0" w:space="0" w:color="auto"/>
        <w:left w:val="none" w:sz="0" w:space="0" w:color="auto"/>
        <w:bottom w:val="none" w:sz="0" w:space="0" w:color="auto"/>
        <w:right w:val="none" w:sz="0" w:space="0" w:color="auto"/>
      </w:divBdr>
    </w:div>
    <w:div w:id="1602569061">
      <w:bodyDiv w:val="1"/>
      <w:marLeft w:val="0"/>
      <w:marRight w:val="0"/>
      <w:marTop w:val="0"/>
      <w:marBottom w:val="0"/>
      <w:divBdr>
        <w:top w:val="none" w:sz="0" w:space="0" w:color="auto"/>
        <w:left w:val="none" w:sz="0" w:space="0" w:color="auto"/>
        <w:bottom w:val="none" w:sz="0" w:space="0" w:color="auto"/>
        <w:right w:val="none" w:sz="0" w:space="0" w:color="auto"/>
      </w:divBdr>
    </w:div>
    <w:div w:id="1652446033">
      <w:bodyDiv w:val="1"/>
      <w:marLeft w:val="0"/>
      <w:marRight w:val="0"/>
      <w:marTop w:val="0"/>
      <w:marBottom w:val="0"/>
      <w:divBdr>
        <w:top w:val="none" w:sz="0" w:space="0" w:color="auto"/>
        <w:left w:val="none" w:sz="0" w:space="0" w:color="auto"/>
        <w:bottom w:val="none" w:sz="0" w:space="0" w:color="auto"/>
        <w:right w:val="none" w:sz="0" w:space="0" w:color="auto"/>
      </w:divBdr>
    </w:div>
    <w:div w:id="1836069961">
      <w:bodyDiv w:val="1"/>
      <w:marLeft w:val="0"/>
      <w:marRight w:val="0"/>
      <w:marTop w:val="0"/>
      <w:marBottom w:val="0"/>
      <w:divBdr>
        <w:top w:val="none" w:sz="0" w:space="0" w:color="auto"/>
        <w:left w:val="none" w:sz="0" w:space="0" w:color="auto"/>
        <w:bottom w:val="none" w:sz="0" w:space="0" w:color="auto"/>
        <w:right w:val="none" w:sz="0" w:space="0" w:color="auto"/>
      </w:divBdr>
    </w:div>
    <w:div w:id="1878811358">
      <w:bodyDiv w:val="1"/>
      <w:marLeft w:val="0"/>
      <w:marRight w:val="0"/>
      <w:marTop w:val="0"/>
      <w:marBottom w:val="0"/>
      <w:divBdr>
        <w:top w:val="none" w:sz="0" w:space="0" w:color="auto"/>
        <w:left w:val="none" w:sz="0" w:space="0" w:color="auto"/>
        <w:bottom w:val="none" w:sz="0" w:space="0" w:color="auto"/>
        <w:right w:val="none" w:sz="0" w:space="0" w:color="auto"/>
      </w:divBdr>
    </w:div>
    <w:div w:id="1893536300">
      <w:bodyDiv w:val="1"/>
      <w:marLeft w:val="0"/>
      <w:marRight w:val="0"/>
      <w:marTop w:val="0"/>
      <w:marBottom w:val="0"/>
      <w:divBdr>
        <w:top w:val="none" w:sz="0" w:space="0" w:color="auto"/>
        <w:left w:val="none" w:sz="0" w:space="0" w:color="auto"/>
        <w:bottom w:val="none" w:sz="0" w:space="0" w:color="auto"/>
        <w:right w:val="none" w:sz="0" w:space="0" w:color="auto"/>
      </w:divBdr>
    </w:div>
    <w:div w:id="21389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2789-4B19-41A2-9773-68928AFE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155</TotalTime>
  <Pages>11</Pages>
  <Words>4732</Words>
  <Characters>28397</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Agnieszka Sewastynowicz</cp:lastModifiedBy>
  <cp:revision>47</cp:revision>
  <cp:lastPrinted>2019-03-28T10:42:00Z</cp:lastPrinted>
  <dcterms:created xsi:type="dcterms:W3CDTF">2019-01-29T06:57:00Z</dcterms:created>
  <dcterms:modified xsi:type="dcterms:W3CDTF">2019-03-28T10:43:00Z</dcterms:modified>
</cp:coreProperties>
</file>