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443" w:rsidRPr="008F1443" w:rsidRDefault="008F1443" w:rsidP="008F1443">
      <w:pPr>
        <w:spacing w:line="360" w:lineRule="auto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 w:rsidRPr="008F1443">
        <w:rPr>
          <w:rFonts w:ascii="Tahoma" w:hAnsi="Tahoma" w:cs="Tahoma"/>
          <w:b/>
          <w:sz w:val="24"/>
          <w:szCs w:val="24"/>
        </w:rPr>
        <w:t>Załącznik nr 1</w:t>
      </w:r>
    </w:p>
    <w:p w:rsidR="008F1443" w:rsidRPr="008F1443" w:rsidRDefault="008F1443" w:rsidP="008F1443">
      <w:pPr>
        <w:spacing w:line="36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Pakiet nr 2</w:t>
      </w:r>
    </w:p>
    <w:p w:rsidR="009B7B9E" w:rsidRPr="00832083" w:rsidRDefault="00832083" w:rsidP="008F1443">
      <w:pPr>
        <w:rPr>
          <w:rFonts w:ascii="Tahoma" w:hAnsi="Tahoma" w:cs="Tahoma"/>
          <w:b/>
          <w:sz w:val="24"/>
          <w:szCs w:val="24"/>
        </w:rPr>
      </w:pPr>
      <w:r w:rsidRPr="00832083">
        <w:rPr>
          <w:rFonts w:ascii="Tahoma" w:hAnsi="Tahoma" w:cs="Tahoma"/>
          <w:b/>
          <w:sz w:val="24"/>
          <w:szCs w:val="24"/>
        </w:rPr>
        <w:t xml:space="preserve">Zestaw do monitorowania ukrwienia  saturacji mózgu podczas znieczulenia </w:t>
      </w:r>
      <w:r w:rsidR="008F1443" w:rsidRPr="00832083">
        <w:rPr>
          <w:rFonts w:ascii="Tahoma" w:hAnsi="Tahoma" w:cs="Tahoma"/>
          <w:b/>
          <w:sz w:val="24"/>
          <w:szCs w:val="24"/>
        </w:rPr>
        <w:t>– 1 szt.</w:t>
      </w:r>
    </w:p>
    <w:p w:rsidR="008F1443" w:rsidRPr="008F1443" w:rsidRDefault="008F1443" w:rsidP="008F1443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7"/>
        <w:gridCol w:w="8310"/>
      </w:tblGrid>
      <w:tr w:rsidR="00D57A78" w:rsidRPr="00B04CA8" w:rsidTr="00B04CA8">
        <w:tc>
          <w:tcPr>
            <w:tcW w:w="587" w:type="dxa"/>
            <w:tcBorders>
              <w:bottom w:val="single" w:sz="4" w:space="0" w:color="000000"/>
            </w:tcBorders>
          </w:tcPr>
          <w:p w:rsidR="00D57A78" w:rsidRPr="00B04CA8" w:rsidRDefault="00D57A78" w:rsidP="000B39FD">
            <w:pPr>
              <w:pStyle w:val="Bezodstpw"/>
              <w:rPr>
                <w:rFonts w:ascii="Tahoma" w:hAnsi="Tahoma" w:cs="Tahoma"/>
              </w:rPr>
            </w:pPr>
            <w:r w:rsidRPr="00B544FC">
              <w:rPr>
                <w:rFonts w:ascii="Tahoma" w:hAnsi="Tahoma" w:cs="Tahoma"/>
                <w:b/>
              </w:rPr>
              <w:t>Lp</w:t>
            </w:r>
            <w:r w:rsidRPr="00B04CA8">
              <w:rPr>
                <w:rFonts w:ascii="Tahoma" w:hAnsi="Tahoma" w:cs="Tahoma"/>
              </w:rPr>
              <w:t>.</w:t>
            </w:r>
          </w:p>
        </w:tc>
        <w:tc>
          <w:tcPr>
            <w:tcW w:w="8310" w:type="dxa"/>
            <w:tcBorders>
              <w:bottom w:val="single" w:sz="4" w:space="0" w:color="000000"/>
            </w:tcBorders>
          </w:tcPr>
          <w:p w:rsidR="00D57A78" w:rsidRPr="00B04CA8" w:rsidRDefault="00B544FC" w:rsidP="000B39FD">
            <w:pPr>
              <w:pStyle w:val="Bezodstpw"/>
              <w:rPr>
                <w:rFonts w:ascii="Tahoma" w:hAnsi="Tahoma" w:cs="Tahoma"/>
              </w:rPr>
            </w:pPr>
            <w:r w:rsidRPr="00783FBC">
              <w:rPr>
                <w:rFonts w:ascii="Tahoma" w:hAnsi="Tahoma" w:cs="Tahoma"/>
                <w:b/>
                <w:bCs/>
              </w:rPr>
              <w:t>Parametry graniczne (wymagane)</w:t>
            </w:r>
          </w:p>
        </w:tc>
      </w:tr>
      <w:tr w:rsidR="00D57A78" w:rsidRPr="00B04CA8" w:rsidTr="00B04CA8">
        <w:tc>
          <w:tcPr>
            <w:tcW w:w="587" w:type="dxa"/>
            <w:tcBorders>
              <w:bottom w:val="single" w:sz="4" w:space="0" w:color="000000"/>
            </w:tcBorders>
            <w:shd w:val="clear" w:color="auto" w:fill="auto"/>
          </w:tcPr>
          <w:p w:rsidR="00D57A78" w:rsidRPr="00B04CA8" w:rsidRDefault="00D57A78" w:rsidP="000B39FD">
            <w:pPr>
              <w:pStyle w:val="Bezodstpw"/>
              <w:rPr>
                <w:rFonts w:ascii="Tahoma" w:hAnsi="Tahoma" w:cs="Tahoma"/>
              </w:rPr>
            </w:pPr>
            <w:r w:rsidRPr="00B04CA8">
              <w:rPr>
                <w:rFonts w:ascii="Tahoma" w:hAnsi="Tahoma" w:cs="Tahoma"/>
              </w:rPr>
              <w:t>1</w:t>
            </w:r>
          </w:p>
        </w:tc>
        <w:tc>
          <w:tcPr>
            <w:tcW w:w="831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57A78" w:rsidRPr="00B04CA8" w:rsidRDefault="00D57A78" w:rsidP="000B39FD">
            <w:pPr>
              <w:rPr>
                <w:rFonts w:ascii="Tahoma" w:hAnsi="Tahoma" w:cs="Tahoma"/>
                <w:sz w:val="22"/>
                <w:szCs w:val="22"/>
              </w:rPr>
            </w:pPr>
            <w:r w:rsidRPr="00B04CA8">
              <w:rPr>
                <w:rFonts w:ascii="Tahoma" w:hAnsi="Tahoma" w:cs="Tahoma"/>
                <w:sz w:val="22"/>
                <w:szCs w:val="22"/>
              </w:rPr>
              <w:t>Aparat przeznaczony do nieinwazyjnego, bezpośredniego i ciągłego pomiaru zmian nasycenia tlenem hemoglobiny w obszarze mózgu i w zastosowaniach regionalnych dla pacjentów o wadze &gt;40kg</w:t>
            </w:r>
          </w:p>
        </w:tc>
      </w:tr>
      <w:tr w:rsidR="00D57A78" w:rsidRPr="00B04CA8" w:rsidTr="00B04CA8">
        <w:tc>
          <w:tcPr>
            <w:tcW w:w="587" w:type="dxa"/>
            <w:tcBorders>
              <w:bottom w:val="single" w:sz="4" w:space="0" w:color="000000"/>
            </w:tcBorders>
            <w:shd w:val="clear" w:color="auto" w:fill="auto"/>
          </w:tcPr>
          <w:p w:rsidR="00D57A78" w:rsidRPr="00B04CA8" w:rsidRDefault="00D57A78" w:rsidP="000B39FD">
            <w:pPr>
              <w:pStyle w:val="Bezodstpw"/>
              <w:rPr>
                <w:rFonts w:ascii="Tahoma" w:hAnsi="Tahoma" w:cs="Tahoma"/>
              </w:rPr>
            </w:pPr>
            <w:r w:rsidRPr="00B04CA8">
              <w:rPr>
                <w:rFonts w:ascii="Tahoma" w:hAnsi="Tahoma" w:cs="Tahoma"/>
              </w:rPr>
              <w:t>2</w:t>
            </w:r>
          </w:p>
        </w:tc>
        <w:tc>
          <w:tcPr>
            <w:tcW w:w="831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57A78" w:rsidRPr="00B04CA8" w:rsidRDefault="00D57A78" w:rsidP="000B39FD">
            <w:pPr>
              <w:rPr>
                <w:rFonts w:ascii="Tahoma" w:hAnsi="Tahoma" w:cs="Tahoma"/>
                <w:sz w:val="22"/>
                <w:szCs w:val="22"/>
              </w:rPr>
            </w:pPr>
            <w:r w:rsidRPr="00B04CA8">
              <w:rPr>
                <w:rFonts w:ascii="Tahoma" w:hAnsi="Tahoma" w:cs="Tahoma"/>
                <w:sz w:val="22"/>
                <w:szCs w:val="22"/>
              </w:rPr>
              <w:t>Oprogramowanie w języku polskim</w:t>
            </w:r>
          </w:p>
        </w:tc>
      </w:tr>
      <w:tr w:rsidR="00D57A78" w:rsidRPr="00B04CA8" w:rsidTr="00B04CA8">
        <w:tc>
          <w:tcPr>
            <w:tcW w:w="587" w:type="dxa"/>
            <w:tcBorders>
              <w:bottom w:val="single" w:sz="4" w:space="0" w:color="000000"/>
            </w:tcBorders>
            <w:shd w:val="clear" w:color="auto" w:fill="auto"/>
          </w:tcPr>
          <w:p w:rsidR="00D57A78" w:rsidRPr="00B04CA8" w:rsidRDefault="00D57A78" w:rsidP="000B39FD">
            <w:pPr>
              <w:pStyle w:val="Bezodstpw"/>
              <w:rPr>
                <w:rFonts w:ascii="Tahoma" w:hAnsi="Tahoma" w:cs="Tahoma"/>
              </w:rPr>
            </w:pPr>
            <w:r w:rsidRPr="00B04CA8">
              <w:rPr>
                <w:rFonts w:ascii="Tahoma" w:hAnsi="Tahoma" w:cs="Tahoma"/>
              </w:rPr>
              <w:t>3</w:t>
            </w:r>
          </w:p>
        </w:tc>
        <w:tc>
          <w:tcPr>
            <w:tcW w:w="831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57A78" w:rsidRPr="00B04CA8" w:rsidRDefault="00D57A78" w:rsidP="000B39FD">
            <w:pPr>
              <w:rPr>
                <w:rFonts w:ascii="Tahoma" w:hAnsi="Tahoma" w:cs="Tahoma"/>
                <w:sz w:val="22"/>
                <w:szCs w:val="22"/>
              </w:rPr>
            </w:pPr>
            <w:r w:rsidRPr="00B04CA8">
              <w:rPr>
                <w:rFonts w:ascii="Tahoma" w:hAnsi="Tahoma" w:cs="Tahoma"/>
                <w:sz w:val="22"/>
                <w:szCs w:val="22"/>
              </w:rPr>
              <w:t>Monitor o wadze maksymalnie 1,3kg</w:t>
            </w:r>
          </w:p>
        </w:tc>
      </w:tr>
      <w:tr w:rsidR="00D57A78" w:rsidRPr="00B04CA8" w:rsidTr="00B04CA8">
        <w:tc>
          <w:tcPr>
            <w:tcW w:w="587" w:type="dxa"/>
            <w:tcBorders>
              <w:bottom w:val="single" w:sz="4" w:space="0" w:color="000000"/>
            </w:tcBorders>
            <w:shd w:val="clear" w:color="auto" w:fill="auto"/>
          </w:tcPr>
          <w:p w:rsidR="00D57A78" w:rsidRPr="00B04CA8" w:rsidRDefault="00D57A78" w:rsidP="000B39FD">
            <w:pPr>
              <w:pStyle w:val="Bezodstpw"/>
              <w:rPr>
                <w:rFonts w:ascii="Tahoma" w:hAnsi="Tahoma" w:cs="Tahoma"/>
              </w:rPr>
            </w:pPr>
            <w:r w:rsidRPr="00B04CA8">
              <w:rPr>
                <w:rFonts w:ascii="Tahoma" w:hAnsi="Tahoma" w:cs="Tahoma"/>
              </w:rPr>
              <w:t>4</w:t>
            </w:r>
          </w:p>
        </w:tc>
        <w:tc>
          <w:tcPr>
            <w:tcW w:w="831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57A78" w:rsidRPr="00B04CA8" w:rsidRDefault="00D57A78" w:rsidP="000B39FD">
            <w:pPr>
              <w:rPr>
                <w:rFonts w:ascii="Tahoma" w:hAnsi="Tahoma" w:cs="Tahoma"/>
                <w:sz w:val="22"/>
                <w:szCs w:val="22"/>
              </w:rPr>
            </w:pPr>
            <w:r w:rsidRPr="00B04CA8">
              <w:rPr>
                <w:rFonts w:ascii="Tahoma" w:hAnsi="Tahoma" w:cs="Tahoma"/>
                <w:sz w:val="22"/>
                <w:szCs w:val="22"/>
              </w:rPr>
              <w:t>Dotykowy, kolorowy ekran TFT LCD o przekątnej min. 10 cali</w:t>
            </w:r>
          </w:p>
        </w:tc>
      </w:tr>
      <w:tr w:rsidR="00D57A78" w:rsidRPr="00B04CA8" w:rsidTr="00B04CA8">
        <w:tc>
          <w:tcPr>
            <w:tcW w:w="587" w:type="dxa"/>
            <w:tcBorders>
              <w:bottom w:val="single" w:sz="4" w:space="0" w:color="000000"/>
            </w:tcBorders>
            <w:shd w:val="clear" w:color="auto" w:fill="auto"/>
          </w:tcPr>
          <w:p w:rsidR="00D57A78" w:rsidRPr="00B04CA8" w:rsidRDefault="00D57A78" w:rsidP="000B39FD">
            <w:pPr>
              <w:pStyle w:val="Bezodstpw"/>
              <w:rPr>
                <w:rFonts w:ascii="Tahoma" w:hAnsi="Tahoma" w:cs="Tahoma"/>
              </w:rPr>
            </w:pPr>
            <w:r w:rsidRPr="00B04CA8">
              <w:rPr>
                <w:rFonts w:ascii="Tahoma" w:hAnsi="Tahoma" w:cs="Tahoma"/>
              </w:rPr>
              <w:t>5</w:t>
            </w:r>
          </w:p>
        </w:tc>
        <w:tc>
          <w:tcPr>
            <w:tcW w:w="831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57A78" w:rsidRPr="00B04CA8" w:rsidRDefault="00D57A78" w:rsidP="000B39FD">
            <w:pPr>
              <w:rPr>
                <w:rFonts w:ascii="Tahoma" w:hAnsi="Tahoma" w:cs="Tahoma"/>
                <w:sz w:val="22"/>
                <w:szCs w:val="22"/>
              </w:rPr>
            </w:pPr>
            <w:r w:rsidRPr="00B04CA8">
              <w:rPr>
                <w:rFonts w:ascii="Tahoma" w:hAnsi="Tahoma" w:cs="Tahoma"/>
                <w:sz w:val="22"/>
                <w:szCs w:val="22"/>
              </w:rPr>
              <w:t>Rozdzielczość ekranu minimum 1200 x 800 pikseli</w:t>
            </w:r>
          </w:p>
        </w:tc>
      </w:tr>
      <w:tr w:rsidR="00D57A78" w:rsidRPr="00B04CA8" w:rsidTr="00B04CA8">
        <w:tc>
          <w:tcPr>
            <w:tcW w:w="587" w:type="dxa"/>
            <w:tcBorders>
              <w:bottom w:val="single" w:sz="4" w:space="0" w:color="000000"/>
            </w:tcBorders>
            <w:shd w:val="clear" w:color="auto" w:fill="auto"/>
          </w:tcPr>
          <w:p w:rsidR="00D57A78" w:rsidRPr="00B04CA8" w:rsidRDefault="00D57A78" w:rsidP="000B39FD">
            <w:pPr>
              <w:pStyle w:val="Bezodstpw"/>
              <w:rPr>
                <w:rFonts w:ascii="Tahoma" w:hAnsi="Tahoma" w:cs="Tahoma"/>
              </w:rPr>
            </w:pPr>
            <w:r w:rsidRPr="00B04CA8">
              <w:rPr>
                <w:rFonts w:ascii="Tahoma" w:hAnsi="Tahoma" w:cs="Tahoma"/>
              </w:rPr>
              <w:t>6</w:t>
            </w:r>
          </w:p>
        </w:tc>
        <w:tc>
          <w:tcPr>
            <w:tcW w:w="831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57A78" w:rsidRPr="00B04CA8" w:rsidRDefault="00D57A78" w:rsidP="000B39FD">
            <w:pPr>
              <w:rPr>
                <w:rFonts w:ascii="Tahoma" w:hAnsi="Tahoma" w:cs="Tahoma"/>
                <w:sz w:val="22"/>
                <w:szCs w:val="22"/>
              </w:rPr>
            </w:pPr>
            <w:r w:rsidRPr="00B04CA8">
              <w:rPr>
                <w:rFonts w:ascii="Tahoma" w:hAnsi="Tahoma" w:cs="Tahoma"/>
                <w:sz w:val="22"/>
                <w:szCs w:val="22"/>
              </w:rPr>
              <w:t>Pomiar saturacji rSO2 zakres minimum 15-95</w:t>
            </w:r>
          </w:p>
        </w:tc>
      </w:tr>
      <w:tr w:rsidR="00D57A78" w:rsidRPr="00B04CA8" w:rsidTr="00B04CA8">
        <w:tc>
          <w:tcPr>
            <w:tcW w:w="587" w:type="dxa"/>
            <w:tcBorders>
              <w:bottom w:val="single" w:sz="4" w:space="0" w:color="000000"/>
            </w:tcBorders>
            <w:shd w:val="clear" w:color="auto" w:fill="auto"/>
          </w:tcPr>
          <w:p w:rsidR="00D57A78" w:rsidRPr="00B04CA8" w:rsidRDefault="00D57A78" w:rsidP="000B39FD">
            <w:pPr>
              <w:pStyle w:val="Bezodstpw"/>
              <w:rPr>
                <w:rFonts w:ascii="Tahoma" w:hAnsi="Tahoma" w:cs="Tahoma"/>
              </w:rPr>
            </w:pPr>
            <w:r w:rsidRPr="00B04CA8">
              <w:rPr>
                <w:rFonts w:ascii="Tahoma" w:hAnsi="Tahoma" w:cs="Tahoma"/>
              </w:rPr>
              <w:t>7</w:t>
            </w:r>
          </w:p>
        </w:tc>
        <w:tc>
          <w:tcPr>
            <w:tcW w:w="831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57A78" w:rsidRPr="00B04CA8" w:rsidRDefault="00D57A78" w:rsidP="000B39FD">
            <w:pPr>
              <w:rPr>
                <w:rFonts w:ascii="Tahoma" w:hAnsi="Tahoma" w:cs="Tahoma"/>
                <w:sz w:val="22"/>
                <w:szCs w:val="22"/>
              </w:rPr>
            </w:pPr>
            <w:r w:rsidRPr="00B04CA8">
              <w:rPr>
                <w:rFonts w:ascii="Tahoma" w:hAnsi="Tahoma" w:cs="Tahoma"/>
                <w:sz w:val="22"/>
                <w:szCs w:val="22"/>
              </w:rPr>
              <w:t>Możliwość ustawienia i ciągłego wyświetlania na ekranie pomiaru wartości wyjściowej wraz z procentową różnicą w stosunku do aktualnych pomiarów</w:t>
            </w:r>
          </w:p>
        </w:tc>
      </w:tr>
      <w:tr w:rsidR="00D57A78" w:rsidRPr="00B04CA8" w:rsidTr="00B04CA8">
        <w:tc>
          <w:tcPr>
            <w:tcW w:w="587" w:type="dxa"/>
            <w:tcBorders>
              <w:bottom w:val="single" w:sz="4" w:space="0" w:color="000000"/>
            </w:tcBorders>
          </w:tcPr>
          <w:p w:rsidR="00D57A78" w:rsidRPr="00B04CA8" w:rsidRDefault="00D57A78" w:rsidP="000B39FD">
            <w:pPr>
              <w:pStyle w:val="Bezodstpw"/>
              <w:rPr>
                <w:rFonts w:ascii="Tahoma" w:hAnsi="Tahoma" w:cs="Tahoma"/>
              </w:rPr>
            </w:pPr>
            <w:r w:rsidRPr="00B04CA8">
              <w:rPr>
                <w:rFonts w:ascii="Tahoma" w:hAnsi="Tahoma" w:cs="Tahoma"/>
              </w:rPr>
              <w:t>8</w:t>
            </w:r>
          </w:p>
        </w:tc>
        <w:tc>
          <w:tcPr>
            <w:tcW w:w="8310" w:type="dxa"/>
            <w:tcBorders>
              <w:bottom w:val="single" w:sz="4" w:space="0" w:color="000000"/>
            </w:tcBorders>
            <w:vAlign w:val="bottom"/>
          </w:tcPr>
          <w:p w:rsidR="00D57A78" w:rsidRPr="00B04CA8" w:rsidRDefault="00D57A78" w:rsidP="000B39FD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CA8">
              <w:rPr>
                <w:rFonts w:ascii="Tahoma" w:hAnsi="Tahoma" w:cs="Tahoma"/>
                <w:color w:val="000000"/>
                <w:sz w:val="22"/>
                <w:szCs w:val="22"/>
              </w:rPr>
              <w:t>Długość kabla przedwzmacniacza – elementu do którego podłączane są czujniki min. 4 m. umożliwiająca swobodne ustawienie monitora w odległości od pacjenta.</w:t>
            </w:r>
          </w:p>
        </w:tc>
      </w:tr>
      <w:tr w:rsidR="00D57A78" w:rsidRPr="00B04CA8" w:rsidTr="00B04CA8">
        <w:tc>
          <w:tcPr>
            <w:tcW w:w="587" w:type="dxa"/>
            <w:tcBorders>
              <w:bottom w:val="single" w:sz="4" w:space="0" w:color="000000"/>
            </w:tcBorders>
          </w:tcPr>
          <w:p w:rsidR="00D57A78" w:rsidRPr="00B04CA8" w:rsidRDefault="00D57A78" w:rsidP="000B39FD">
            <w:pPr>
              <w:pStyle w:val="Bezodstpw"/>
              <w:rPr>
                <w:rFonts w:ascii="Tahoma" w:hAnsi="Tahoma" w:cs="Tahoma"/>
              </w:rPr>
            </w:pPr>
            <w:r w:rsidRPr="00B04CA8">
              <w:rPr>
                <w:rFonts w:ascii="Tahoma" w:hAnsi="Tahoma" w:cs="Tahoma"/>
              </w:rPr>
              <w:t>9</w:t>
            </w:r>
          </w:p>
        </w:tc>
        <w:tc>
          <w:tcPr>
            <w:tcW w:w="8310" w:type="dxa"/>
            <w:tcBorders>
              <w:bottom w:val="single" w:sz="4" w:space="0" w:color="000000"/>
            </w:tcBorders>
            <w:vAlign w:val="bottom"/>
          </w:tcPr>
          <w:p w:rsidR="00D57A78" w:rsidRPr="00B04CA8" w:rsidRDefault="00D57A78" w:rsidP="000B39FD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CA8">
              <w:rPr>
                <w:rFonts w:ascii="Tahoma" w:hAnsi="Tahoma" w:cs="Tahoma"/>
                <w:color w:val="000000"/>
                <w:sz w:val="22"/>
                <w:szCs w:val="22"/>
              </w:rPr>
              <w:t>Funkcja wyznaczania AUC (Area under the curve) wyrażana w min%  z możliwością zdefiniowania przez użytkownika progów, wyświetlana na ekranie w czasie rzeczywistym  z możliwością prezentacji na ekranie zbiorczym AUC</w:t>
            </w:r>
          </w:p>
        </w:tc>
      </w:tr>
      <w:tr w:rsidR="00D57A78" w:rsidRPr="00B04CA8" w:rsidTr="00B04CA8">
        <w:tc>
          <w:tcPr>
            <w:tcW w:w="587" w:type="dxa"/>
            <w:tcBorders>
              <w:bottom w:val="single" w:sz="4" w:space="0" w:color="000000"/>
            </w:tcBorders>
          </w:tcPr>
          <w:p w:rsidR="00D57A78" w:rsidRPr="00B04CA8" w:rsidRDefault="00D57A78" w:rsidP="000B39FD">
            <w:pPr>
              <w:pStyle w:val="Bezodstpw"/>
              <w:rPr>
                <w:rFonts w:ascii="Tahoma" w:hAnsi="Tahoma" w:cs="Tahoma"/>
              </w:rPr>
            </w:pPr>
            <w:r w:rsidRPr="00B04CA8">
              <w:rPr>
                <w:rFonts w:ascii="Tahoma" w:hAnsi="Tahoma" w:cs="Tahoma"/>
              </w:rPr>
              <w:t>10</w:t>
            </w:r>
          </w:p>
        </w:tc>
        <w:tc>
          <w:tcPr>
            <w:tcW w:w="8310" w:type="dxa"/>
            <w:tcBorders>
              <w:bottom w:val="single" w:sz="4" w:space="0" w:color="000000"/>
            </w:tcBorders>
            <w:vAlign w:val="bottom"/>
          </w:tcPr>
          <w:p w:rsidR="00D57A78" w:rsidRPr="00B04CA8" w:rsidRDefault="00D57A78" w:rsidP="000B39FD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CA8">
              <w:rPr>
                <w:rFonts w:ascii="Tahoma" w:hAnsi="Tahoma" w:cs="Tahoma"/>
                <w:color w:val="000000"/>
                <w:sz w:val="22"/>
                <w:szCs w:val="22"/>
              </w:rPr>
              <w:t>Ekran zbiorczy AUC</w:t>
            </w:r>
          </w:p>
        </w:tc>
      </w:tr>
      <w:tr w:rsidR="00D57A78" w:rsidRPr="00B04CA8" w:rsidTr="00B04CA8">
        <w:tc>
          <w:tcPr>
            <w:tcW w:w="587" w:type="dxa"/>
            <w:tcBorders>
              <w:bottom w:val="single" w:sz="4" w:space="0" w:color="000000"/>
            </w:tcBorders>
          </w:tcPr>
          <w:p w:rsidR="00D57A78" w:rsidRPr="00B04CA8" w:rsidRDefault="00D57A78" w:rsidP="000B39FD">
            <w:pPr>
              <w:pStyle w:val="Bezodstpw"/>
              <w:rPr>
                <w:rFonts w:ascii="Tahoma" w:hAnsi="Tahoma" w:cs="Tahoma"/>
              </w:rPr>
            </w:pPr>
            <w:r w:rsidRPr="00B04CA8">
              <w:rPr>
                <w:rFonts w:ascii="Tahoma" w:hAnsi="Tahoma" w:cs="Tahoma"/>
              </w:rPr>
              <w:t>11</w:t>
            </w:r>
          </w:p>
        </w:tc>
        <w:tc>
          <w:tcPr>
            <w:tcW w:w="8310" w:type="dxa"/>
            <w:tcBorders>
              <w:bottom w:val="single" w:sz="4" w:space="0" w:color="000000"/>
            </w:tcBorders>
            <w:vAlign w:val="bottom"/>
          </w:tcPr>
          <w:p w:rsidR="00D57A78" w:rsidRPr="00B04CA8" w:rsidRDefault="00D57A78" w:rsidP="000B39FD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CA8">
              <w:rPr>
                <w:rFonts w:ascii="Tahoma" w:hAnsi="Tahoma" w:cs="Tahoma"/>
                <w:color w:val="000000"/>
                <w:sz w:val="22"/>
                <w:szCs w:val="22"/>
              </w:rPr>
              <w:t>Ciągły zapis trendu mierzonych wartości</w:t>
            </w:r>
          </w:p>
        </w:tc>
      </w:tr>
      <w:tr w:rsidR="00D57A78" w:rsidRPr="00B04CA8" w:rsidTr="00B04CA8">
        <w:tc>
          <w:tcPr>
            <w:tcW w:w="587" w:type="dxa"/>
            <w:tcBorders>
              <w:bottom w:val="single" w:sz="4" w:space="0" w:color="000000"/>
            </w:tcBorders>
          </w:tcPr>
          <w:p w:rsidR="00D57A78" w:rsidRPr="00B04CA8" w:rsidRDefault="00D57A78" w:rsidP="000B39FD">
            <w:pPr>
              <w:pStyle w:val="Bezodstpw"/>
              <w:rPr>
                <w:rFonts w:ascii="Tahoma" w:hAnsi="Tahoma" w:cs="Tahoma"/>
              </w:rPr>
            </w:pPr>
            <w:r w:rsidRPr="00B04CA8">
              <w:rPr>
                <w:rFonts w:ascii="Tahoma" w:hAnsi="Tahoma" w:cs="Tahoma"/>
              </w:rPr>
              <w:t>12</w:t>
            </w:r>
          </w:p>
        </w:tc>
        <w:tc>
          <w:tcPr>
            <w:tcW w:w="8310" w:type="dxa"/>
            <w:tcBorders>
              <w:bottom w:val="single" w:sz="4" w:space="0" w:color="000000"/>
            </w:tcBorders>
            <w:vAlign w:val="bottom"/>
          </w:tcPr>
          <w:p w:rsidR="00D57A78" w:rsidRPr="00B04CA8" w:rsidRDefault="00D57A78" w:rsidP="000B39FD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CA8">
              <w:rPr>
                <w:rFonts w:ascii="Tahoma" w:hAnsi="Tahoma" w:cs="Tahoma"/>
                <w:color w:val="000000"/>
                <w:sz w:val="22"/>
                <w:szCs w:val="22"/>
              </w:rPr>
              <w:t>Zintegrowany akumulator zapewniający prace monitora bez zasilania sieciowego przez minimum 1 godzinę</w:t>
            </w:r>
          </w:p>
        </w:tc>
      </w:tr>
      <w:tr w:rsidR="00D57A78" w:rsidRPr="00B04CA8" w:rsidTr="00B04CA8">
        <w:tc>
          <w:tcPr>
            <w:tcW w:w="587" w:type="dxa"/>
            <w:tcBorders>
              <w:bottom w:val="single" w:sz="4" w:space="0" w:color="000000"/>
            </w:tcBorders>
          </w:tcPr>
          <w:p w:rsidR="00D57A78" w:rsidRPr="00B04CA8" w:rsidRDefault="00D57A78" w:rsidP="000B39FD">
            <w:pPr>
              <w:pStyle w:val="Bezodstpw"/>
              <w:rPr>
                <w:rFonts w:ascii="Tahoma" w:hAnsi="Tahoma" w:cs="Tahoma"/>
              </w:rPr>
            </w:pPr>
            <w:r w:rsidRPr="00B04CA8">
              <w:rPr>
                <w:rFonts w:ascii="Tahoma" w:hAnsi="Tahoma" w:cs="Tahoma"/>
              </w:rPr>
              <w:t>13</w:t>
            </w:r>
          </w:p>
        </w:tc>
        <w:tc>
          <w:tcPr>
            <w:tcW w:w="8310" w:type="dxa"/>
            <w:tcBorders>
              <w:bottom w:val="single" w:sz="4" w:space="0" w:color="000000"/>
            </w:tcBorders>
            <w:vAlign w:val="bottom"/>
          </w:tcPr>
          <w:p w:rsidR="00D57A78" w:rsidRPr="00B04CA8" w:rsidRDefault="00D57A78" w:rsidP="000B39FD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CA8">
              <w:rPr>
                <w:rFonts w:ascii="Tahoma" w:hAnsi="Tahoma" w:cs="Tahoma"/>
                <w:color w:val="000000"/>
                <w:sz w:val="22"/>
                <w:szCs w:val="22"/>
              </w:rPr>
              <w:t xml:space="preserve">Wyświetlanie funkcji uśredniania linii trendu, obliczająca </w:t>
            </w:r>
            <w:r w:rsidRPr="00B04CA8">
              <w:rPr>
                <w:rFonts w:ascii="Tahoma" w:hAnsi="Tahoma" w:cs="Tahoma"/>
                <w:sz w:val="22"/>
                <w:szCs w:val="22"/>
              </w:rPr>
              <w:t>60-minutową średnią kroczącą z rSO2</w:t>
            </w:r>
            <w:r w:rsidRPr="00B04CA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w celu ułatwienia oceny zmiennego zapisu trendu rS02.</w:t>
            </w:r>
          </w:p>
        </w:tc>
      </w:tr>
      <w:tr w:rsidR="00D57A78" w:rsidRPr="00B04CA8" w:rsidTr="00B04CA8">
        <w:tc>
          <w:tcPr>
            <w:tcW w:w="587" w:type="dxa"/>
            <w:tcBorders>
              <w:bottom w:val="single" w:sz="4" w:space="0" w:color="000000"/>
            </w:tcBorders>
          </w:tcPr>
          <w:p w:rsidR="00D57A78" w:rsidRPr="00B04CA8" w:rsidRDefault="00D57A78" w:rsidP="000B39FD">
            <w:pPr>
              <w:pStyle w:val="Bezodstpw"/>
              <w:rPr>
                <w:rFonts w:ascii="Tahoma" w:hAnsi="Tahoma" w:cs="Tahoma"/>
              </w:rPr>
            </w:pPr>
            <w:r w:rsidRPr="00B04CA8">
              <w:rPr>
                <w:rFonts w:ascii="Tahoma" w:hAnsi="Tahoma" w:cs="Tahoma"/>
              </w:rPr>
              <w:t>14</w:t>
            </w:r>
          </w:p>
        </w:tc>
        <w:tc>
          <w:tcPr>
            <w:tcW w:w="8310" w:type="dxa"/>
            <w:tcBorders>
              <w:bottom w:val="single" w:sz="4" w:space="0" w:color="000000"/>
            </w:tcBorders>
            <w:vAlign w:val="bottom"/>
          </w:tcPr>
          <w:p w:rsidR="00D57A78" w:rsidRPr="00B04CA8" w:rsidRDefault="00D57A78" w:rsidP="000B39FD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CA8">
              <w:rPr>
                <w:rFonts w:ascii="Tahoma" w:hAnsi="Tahoma" w:cs="Tahoma"/>
                <w:color w:val="000000"/>
                <w:sz w:val="22"/>
                <w:szCs w:val="22"/>
              </w:rPr>
              <w:t>Możliwość umieszczania „znaczników badania” w trakcie monitorowania w postaci pionowej linii na ekranie głównym w momencie danego zdarzenia,  widocznego w postaci kodu po zaimportowaniu danych na USB</w:t>
            </w:r>
          </w:p>
        </w:tc>
      </w:tr>
      <w:tr w:rsidR="00D57A78" w:rsidRPr="00B04CA8" w:rsidTr="00B04CA8">
        <w:tc>
          <w:tcPr>
            <w:tcW w:w="587" w:type="dxa"/>
            <w:tcBorders>
              <w:bottom w:val="single" w:sz="4" w:space="0" w:color="000000"/>
            </w:tcBorders>
          </w:tcPr>
          <w:p w:rsidR="00D57A78" w:rsidRPr="00B04CA8" w:rsidRDefault="00D57A78" w:rsidP="000B39FD">
            <w:pPr>
              <w:pStyle w:val="Bezodstpw"/>
              <w:rPr>
                <w:rFonts w:ascii="Tahoma" w:hAnsi="Tahoma" w:cs="Tahoma"/>
              </w:rPr>
            </w:pPr>
            <w:r w:rsidRPr="00B04CA8">
              <w:rPr>
                <w:rFonts w:ascii="Tahoma" w:hAnsi="Tahoma" w:cs="Tahoma"/>
              </w:rPr>
              <w:t>15</w:t>
            </w:r>
          </w:p>
        </w:tc>
        <w:tc>
          <w:tcPr>
            <w:tcW w:w="8310" w:type="dxa"/>
            <w:tcBorders>
              <w:bottom w:val="single" w:sz="4" w:space="0" w:color="000000"/>
            </w:tcBorders>
            <w:vAlign w:val="bottom"/>
          </w:tcPr>
          <w:p w:rsidR="00D57A78" w:rsidRPr="00B04CA8" w:rsidRDefault="00D57A78" w:rsidP="000B39FD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CA8">
              <w:rPr>
                <w:rFonts w:ascii="Tahoma" w:hAnsi="Tahoma" w:cs="Tahoma"/>
                <w:color w:val="000000"/>
                <w:sz w:val="22"/>
                <w:szCs w:val="22"/>
              </w:rPr>
              <w:t xml:space="preserve">Możliwość odczytania wprowadzonych zdarzeń z ekranu głównego podczas monitorowania pacjenta </w:t>
            </w:r>
          </w:p>
        </w:tc>
      </w:tr>
      <w:tr w:rsidR="00D57A78" w:rsidRPr="00B04CA8" w:rsidTr="00B04CA8">
        <w:tc>
          <w:tcPr>
            <w:tcW w:w="587" w:type="dxa"/>
            <w:tcBorders>
              <w:bottom w:val="single" w:sz="4" w:space="0" w:color="000000"/>
            </w:tcBorders>
          </w:tcPr>
          <w:p w:rsidR="00D57A78" w:rsidRPr="00B04CA8" w:rsidRDefault="00D57A78" w:rsidP="000B39FD">
            <w:pPr>
              <w:pStyle w:val="Bezodstpw"/>
              <w:rPr>
                <w:rFonts w:ascii="Tahoma" w:hAnsi="Tahoma" w:cs="Tahoma"/>
              </w:rPr>
            </w:pPr>
            <w:r w:rsidRPr="00B04CA8">
              <w:rPr>
                <w:rFonts w:ascii="Tahoma" w:hAnsi="Tahoma" w:cs="Tahoma"/>
              </w:rPr>
              <w:t>16</w:t>
            </w:r>
          </w:p>
        </w:tc>
        <w:tc>
          <w:tcPr>
            <w:tcW w:w="8310" w:type="dxa"/>
            <w:tcBorders>
              <w:bottom w:val="single" w:sz="4" w:space="0" w:color="000000"/>
            </w:tcBorders>
            <w:vAlign w:val="bottom"/>
          </w:tcPr>
          <w:p w:rsidR="00D57A78" w:rsidRPr="00B04CA8" w:rsidRDefault="00D57A78" w:rsidP="000B39FD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CA8">
              <w:rPr>
                <w:rFonts w:ascii="Tahoma" w:hAnsi="Tahoma" w:cs="Tahoma"/>
                <w:color w:val="000000"/>
                <w:sz w:val="22"/>
                <w:szCs w:val="22"/>
              </w:rPr>
              <w:t xml:space="preserve">Zapis </w:t>
            </w:r>
            <w:r w:rsidR="00A82EF2">
              <w:rPr>
                <w:rFonts w:ascii="Tahoma" w:hAnsi="Tahoma" w:cs="Tahoma"/>
                <w:color w:val="000000"/>
                <w:sz w:val="22"/>
                <w:szCs w:val="22"/>
              </w:rPr>
              <w:t>historii trendów przez minimum 2</w:t>
            </w:r>
            <w:r w:rsidRPr="00B04CA8">
              <w:rPr>
                <w:rFonts w:ascii="Tahoma" w:hAnsi="Tahoma" w:cs="Tahoma"/>
                <w:color w:val="000000"/>
                <w:sz w:val="22"/>
                <w:szCs w:val="22"/>
              </w:rPr>
              <w:t xml:space="preserve">0 dni z częstością aktualizacji co minimum 5 sekund </w:t>
            </w:r>
          </w:p>
        </w:tc>
      </w:tr>
      <w:tr w:rsidR="00D57A78" w:rsidRPr="00B04CA8" w:rsidTr="00B04CA8">
        <w:tc>
          <w:tcPr>
            <w:tcW w:w="587" w:type="dxa"/>
            <w:tcBorders>
              <w:bottom w:val="single" w:sz="4" w:space="0" w:color="000000"/>
            </w:tcBorders>
          </w:tcPr>
          <w:p w:rsidR="00D57A78" w:rsidRPr="00B04CA8" w:rsidRDefault="00D57A78" w:rsidP="000B39FD">
            <w:pPr>
              <w:pStyle w:val="Bezodstpw"/>
              <w:rPr>
                <w:rFonts w:ascii="Tahoma" w:hAnsi="Tahoma" w:cs="Tahoma"/>
              </w:rPr>
            </w:pPr>
          </w:p>
        </w:tc>
        <w:tc>
          <w:tcPr>
            <w:tcW w:w="8310" w:type="dxa"/>
            <w:tcBorders>
              <w:bottom w:val="single" w:sz="4" w:space="0" w:color="000000"/>
            </w:tcBorders>
            <w:vAlign w:val="bottom"/>
          </w:tcPr>
          <w:p w:rsidR="00D57A78" w:rsidRPr="00B04CA8" w:rsidRDefault="00D57A78" w:rsidP="000B39FD">
            <w:pPr>
              <w:overflowPunct/>
              <w:textAlignment w:val="auto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CA8">
              <w:rPr>
                <w:rFonts w:ascii="Tahoma" w:hAnsi="Tahoma" w:cs="Tahoma"/>
                <w:color w:val="000000"/>
                <w:sz w:val="22"/>
                <w:szCs w:val="22"/>
              </w:rPr>
              <w:t>Urzadzenie wyposażone w minimum 2 porty USB, port szeregowy i VGA.</w:t>
            </w:r>
          </w:p>
        </w:tc>
      </w:tr>
      <w:tr w:rsidR="00D57A78" w:rsidRPr="00B04CA8" w:rsidTr="00B04CA8">
        <w:tc>
          <w:tcPr>
            <w:tcW w:w="587" w:type="dxa"/>
            <w:tcBorders>
              <w:bottom w:val="single" w:sz="4" w:space="0" w:color="000000"/>
            </w:tcBorders>
          </w:tcPr>
          <w:p w:rsidR="00D57A78" w:rsidRPr="00B04CA8" w:rsidRDefault="00D57A78" w:rsidP="000B39FD">
            <w:pPr>
              <w:pStyle w:val="Bezodstpw"/>
              <w:rPr>
                <w:rFonts w:ascii="Tahoma" w:hAnsi="Tahoma" w:cs="Tahoma"/>
              </w:rPr>
            </w:pPr>
            <w:r w:rsidRPr="00B04CA8">
              <w:rPr>
                <w:rFonts w:ascii="Tahoma" w:hAnsi="Tahoma" w:cs="Tahoma"/>
              </w:rPr>
              <w:t>17</w:t>
            </w:r>
          </w:p>
        </w:tc>
        <w:tc>
          <w:tcPr>
            <w:tcW w:w="8310" w:type="dxa"/>
            <w:tcBorders>
              <w:bottom w:val="single" w:sz="4" w:space="0" w:color="000000"/>
            </w:tcBorders>
            <w:vAlign w:val="bottom"/>
          </w:tcPr>
          <w:p w:rsidR="00D57A78" w:rsidRPr="00B04CA8" w:rsidRDefault="00D57A78" w:rsidP="000B39FD">
            <w:pPr>
              <w:overflowPunct/>
              <w:textAlignment w:val="auto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CA8">
              <w:rPr>
                <w:rFonts w:ascii="Tahoma" w:hAnsi="Tahoma" w:cs="Tahoma"/>
                <w:color w:val="000000"/>
                <w:sz w:val="22"/>
                <w:szCs w:val="22"/>
              </w:rPr>
              <w:t>Transmisja danych za pomocą portu USB</w:t>
            </w:r>
          </w:p>
          <w:p w:rsidR="00D57A78" w:rsidRPr="00B04CA8" w:rsidRDefault="00D57A78" w:rsidP="000B39FD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D57A78" w:rsidRPr="00B04CA8" w:rsidTr="00B04CA8">
        <w:tc>
          <w:tcPr>
            <w:tcW w:w="587" w:type="dxa"/>
            <w:tcBorders>
              <w:bottom w:val="single" w:sz="4" w:space="0" w:color="000000"/>
            </w:tcBorders>
          </w:tcPr>
          <w:p w:rsidR="00D57A78" w:rsidRPr="00B04CA8" w:rsidRDefault="00D57A78" w:rsidP="000B39FD">
            <w:pPr>
              <w:pStyle w:val="Bezodstpw"/>
              <w:rPr>
                <w:rFonts w:ascii="Tahoma" w:hAnsi="Tahoma" w:cs="Tahoma"/>
              </w:rPr>
            </w:pPr>
            <w:r w:rsidRPr="00B04CA8">
              <w:rPr>
                <w:rFonts w:ascii="Tahoma" w:hAnsi="Tahoma" w:cs="Tahoma"/>
              </w:rPr>
              <w:t>18</w:t>
            </w:r>
          </w:p>
        </w:tc>
        <w:tc>
          <w:tcPr>
            <w:tcW w:w="8310" w:type="dxa"/>
            <w:tcBorders>
              <w:bottom w:val="single" w:sz="4" w:space="0" w:color="000000"/>
            </w:tcBorders>
            <w:vAlign w:val="bottom"/>
          </w:tcPr>
          <w:p w:rsidR="00D57A78" w:rsidRPr="00B04CA8" w:rsidRDefault="00D57A78" w:rsidP="000B39FD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CA8">
              <w:rPr>
                <w:rFonts w:ascii="Tahoma" w:hAnsi="Tahoma" w:cs="Tahoma"/>
                <w:color w:val="000000"/>
                <w:sz w:val="22"/>
                <w:szCs w:val="22"/>
              </w:rPr>
              <w:t>Możliwość czterokanałowego monitorowania utlenowania tkanek</w:t>
            </w:r>
          </w:p>
        </w:tc>
      </w:tr>
      <w:tr w:rsidR="00D57A78" w:rsidRPr="00B04CA8" w:rsidTr="00B04CA8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78" w:rsidRPr="00B04CA8" w:rsidRDefault="00D57A78" w:rsidP="000B39FD">
            <w:pPr>
              <w:pStyle w:val="Bezodstpw"/>
              <w:rPr>
                <w:rFonts w:ascii="Tahoma" w:hAnsi="Tahoma" w:cs="Tahoma"/>
              </w:rPr>
            </w:pPr>
            <w:r w:rsidRPr="00B04CA8">
              <w:rPr>
                <w:rFonts w:ascii="Tahoma" w:hAnsi="Tahoma" w:cs="Tahoma"/>
              </w:rPr>
              <w:t>19</w:t>
            </w:r>
          </w:p>
        </w:tc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7A78" w:rsidRPr="00B04CA8" w:rsidRDefault="00D57A78" w:rsidP="000B39FD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CA8">
              <w:rPr>
                <w:rFonts w:ascii="Tahoma" w:hAnsi="Tahoma" w:cs="Tahoma"/>
                <w:color w:val="000000"/>
                <w:sz w:val="22"/>
                <w:szCs w:val="22"/>
              </w:rPr>
              <w:t>W zestawie stacja dokująca monitora oraz podstawa stojaca</w:t>
            </w:r>
          </w:p>
        </w:tc>
      </w:tr>
    </w:tbl>
    <w:p w:rsidR="00AE2207" w:rsidRPr="00B04CA8" w:rsidRDefault="00AE2207" w:rsidP="00AE2207">
      <w:pPr>
        <w:ind w:left="180" w:hanging="180"/>
        <w:rPr>
          <w:rFonts w:ascii="Tahoma" w:hAnsi="Tahoma" w:cs="Tahoma"/>
          <w:w w:val="90"/>
          <w:sz w:val="22"/>
          <w:szCs w:val="22"/>
        </w:rPr>
      </w:pPr>
    </w:p>
    <w:p w:rsidR="00AE2207" w:rsidRPr="004A7ACC" w:rsidRDefault="00AE2207" w:rsidP="00AE2207">
      <w:pPr>
        <w:ind w:left="180" w:hanging="180"/>
        <w:rPr>
          <w:rFonts w:ascii="Arial Narrow" w:hAnsi="Arial Narrow"/>
          <w:w w:val="90"/>
          <w:sz w:val="24"/>
          <w:szCs w:val="24"/>
        </w:rPr>
      </w:pPr>
    </w:p>
    <w:p w:rsidR="00AE2207" w:rsidRPr="004A7ACC" w:rsidRDefault="00AE2207" w:rsidP="00AE2207">
      <w:pPr>
        <w:ind w:left="180" w:hanging="180"/>
        <w:rPr>
          <w:rFonts w:ascii="Arial Narrow" w:hAnsi="Arial Narrow"/>
          <w:w w:val="90"/>
          <w:sz w:val="24"/>
          <w:szCs w:val="24"/>
        </w:rPr>
      </w:pPr>
    </w:p>
    <w:p w:rsidR="00AE2207" w:rsidRPr="004A7ACC" w:rsidRDefault="00AE2207" w:rsidP="00AE2207">
      <w:pPr>
        <w:ind w:left="180" w:hanging="180"/>
        <w:rPr>
          <w:rFonts w:ascii="Arial Narrow" w:hAnsi="Arial Narrow"/>
          <w:w w:val="90"/>
          <w:sz w:val="24"/>
          <w:szCs w:val="24"/>
        </w:rPr>
      </w:pPr>
    </w:p>
    <w:p w:rsidR="00AE2207" w:rsidRDefault="00AE2207"/>
    <w:sectPr w:rsidR="00AE2207" w:rsidSect="00F85B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E7C" w:rsidRDefault="00D53E7C" w:rsidP="001F45A2">
      <w:r>
        <w:separator/>
      </w:r>
    </w:p>
  </w:endnote>
  <w:endnote w:type="continuationSeparator" w:id="1">
    <w:p w:rsidR="00D53E7C" w:rsidRDefault="00D53E7C" w:rsidP="001F4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5A2" w:rsidRDefault="001F45A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5A2" w:rsidRDefault="001F45A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5A2" w:rsidRDefault="001F45A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E7C" w:rsidRDefault="00D53E7C" w:rsidP="001F45A2">
      <w:r>
        <w:separator/>
      </w:r>
    </w:p>
  </w:footnote>
  <w:footnote w:type="continuationSeparator" w:id="1">
    <w:p w:rsidR="00D53E7C" w:rsidRDefault="00D53E7C" w:rsidP="001F45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5A2" w:rsidRDefault="001F45A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5A2" w:rsidRDefault="001F45A2" w:rsidP="001F45A2">
    <w:pPr>
      <w:pStyle w:val="Nagwek7"/>
      <w:tabs>
        <w:tab w:val="right" w:pos="9096"/>
        <w:tab w:val="left" w:pos="13608"/>
      </w:tabs>
      <w:ind w:right="-24"/>
      <w:rPr>
        <w:i w:val="0"/>
      </w:rPr>
    </w:pPr>
    <w:r>
      <w:rPr>
        <w:rFonts w:ascii="Calibri" w:hAnsi="Calibri"/>
        <w:i w:val="0"/>
        <w:sz w:val="20"/>
        <w:szCs w:val="20"/>
      </w:rPr>
      <w:t xml:space="preserve">WCPIT/EA/381-14/2019                                                                                                                                             </w:t>
    </w:r>
  </w:p>
  <w:p w:rsidR="001F45A2" w:rsidRDefault="001F45A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5A2" w:rsidRDefault="001F45A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2207"/>
    <w:rsid w:val="00080C11"/>
    <w:rsid w:val="000D7826"/>
    <w:rsid w:val="000F5158"/>
    <w:rsid w:val="00106A74"/>
    <w:rsid w:val="001F45A2"/>
    <w:rsid w:val="00391591"/>
    <w:rsid w:val="00532668"/>
    <w:rsid w:val="00832083"/>
    <w:rsid w:val="008F1443"/>
    <w:rsid w:val="00931B66"/>
    <w:rsid w:val="009B7B9E"/>
    <w:rsid w:val="00A82EF2"/>
    <w:rsid w:val="00AE2207"/>
    <w:rsid w:val="00B04CA8"/>
    <w:rsid w:val="00B544FC"/>
    <w:rsid w:val="00C87946"/>
    <w:rsid w:val="00D53E7C"/>
    <w:rsid w:val="00D57A78"/>
    <w:rsid w:val="00D74665"/>
    <w:rsid w:val="00EC1169"/>
    <w:rsid w:val="00F25BCE"/>
    <w:rsid w:val="00F85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2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F45A2"/>
    <w:pPr>
      <w:keepNext/>
      <w:keepLines/>
      <w:overflowPunct/>
      <w:autoSpaceDE/>
      <w:autoSpaceDN/>
      <w:adjustRightInd/>
      <w:spacing w:before="200"/>
      <w:textAlignment w:val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E2207"/>
    <w:pPr>
      <w:spacing w:after="0" w:line="240" w:lineRule="auto"/>
    </w:pPr>
    <w:rPr>
      <w:rFonts w:ascii="Calibri" w:eastAsia="Times New Roman" w:hAnsi="Calibri" w:cs="Times New Roman"/>
      <w:lang w:val="pl-PL"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F45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45A2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F45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F45A2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F45A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Zielińska</dc:creator>
  <cp:lastModifiedBy>szielinska</cp:lastModifiedBy>
  <cp:revision>15</cp:revision>
  <dcterms:created xsi:type="dcterms:W3CDTF">2019-05-07T10:42:00Z</dcterms:created>
  <dcterms:modified xsi:type="dcterms:W3CDTF">2019-05-08T12:22:00Z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5892ebec-3119-4b04-bc09-cb2a681baa38</vt:lpwstr>
  </property>
  <property fmtid="{D5CDD505-2E9C-101B-9397-08002B2CF9AE}" pid="3" name="Classification">
    <vt:lpwstr>MedtronicControlled</vt:lpwstr>
  </property>
</Properties>
</file>