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2019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reprezentowanym przez Dyrektora –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prof.nadzw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>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60E27" w:rsidRPr="00142BF7">
        <w:rPr>
          <w:rFonts w:asciiTheme="minorHAnsi" w:hAnsiTheme="minorHAnsi"/>
          <w:b w:val="0"/>
          <w:sz w:val="20"/>
          <w:szCs w:val="20"/>
        </w:rPr>
        <w:t>d</w:t>
      </w:r>
      <w:r w:rsidRPr="00142BF7">
        <w:rPr>
          <w:rFonts w:asciiTheme="minorHAnsi" w:hAnsiTheme="minorHAnsi"/>
          <w:b w:val="0"/>
          <w:sz w:val="20"/>
          <w:szCs w:val="20"/>
        </w:rPr>
        <w:t>rhab.med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. Aleksandra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Barinow-Wojewódzkiego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2018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1986 </w:t>
      </w:r>
      <w:r w:rsidR="001440AC" w:rsidRPr="00142BF7">
        <w:rPr>
          <w:rFonts w:asciiTheme="minorHAnsi" w:hAnsiTheme="minorHAnsi"/>
        </w:rPr>
        <w:t>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</w:t>
      </w:r>
      <w:proofErr w:type="spellStart"/>
      <w:r w:rsidR="005D0970" w:rsidRPr="00142BF7">
        <w:rPr>
          <w:rFonts w:asciiTheme="minorHAnsi" w:hAnsiTheme="minorHAnsi" w:cs="Arial"/>
          <w:b/>
        </w:rPr>
        <w:t>zokresem</w:t>
      </w:r>
      <w:proofErr w:type="spellEnd"/>
      <w:r w:rsidR="005D0970" w:rsidRPr="00142BF7">
        <w:rPr>
          <w:rFonts w:asciiTheme="minorHAnsi" w:hAnsiTheme="minorHAnsi" w:cs="Arial"/>
          <w:b/>
        </w:rPr>
        <w:t xml:space="preserve">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965"/>
        <w:gridCol w:w="13"/>
        <w:gridCol w:w="953"/>
        <w:gridCol w:w="1409"/>
      </w:tblGrid>
      <w:tr w:rsidR="004E2363" w:rsidRPr="00142BF7" w:rsidTr="00333B84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170" w:type="dxa"/>
            <w:gridSpan w:val="6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[MWh]</w:t>
            </w:r>
          </w:p>
        </w:tc>
        <w:tc>
          <w:tcPr>
            <w:tcW w:w="1409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333B84">
        <w:tc>
          <w:tcPr>
            <w:tcW w:w="1385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978" w:type="dxa"/>
            <w:gridSpan w:val="2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953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Całodobowa  C21</w:t>
            </w:r>
          </w:p>
        </w:tc>
        <w:tc>
          <w:tcPr>
            <w:tcW w:w="1409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FD7FE3" w:rsidRPr="00142BF7" w:rsidTr="00333B84">
        <w:tc>
          <w:tcPr>
            <w:tcW w:w="1385" w:type="dxa"/>
            <w:vAlign w:val="center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1,82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7,05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34,05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107,39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34,18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184,49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2,35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7,12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42,94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109,33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40,29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202,03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3,37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47,71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85,89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44,10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187,86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3,67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7,35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74,83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132,34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44,22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262,41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  <w:vAlign w:val="center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2,81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5,61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52,47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92,21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45,86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198,96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2,55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5,08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45,93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80,86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39,78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174,20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2,28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49,44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127,89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37,85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224,25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1,78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30,81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97,75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37,47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174,60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1,50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7,49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27,37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108,75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32,67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177,78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1,48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7,37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28,86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114,30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31,64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183,65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1,53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7,68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29,84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116,39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33,04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188,48</w:t>
            </w:r>
          </w:p>
        </w:tc>
      </w:tr>
      <w:tr w:rsidR="00333B84" w:rsidRPr="00142BF7" w:rsidTr="00333B84">
        <w:trPr>
          <w:trHeight w:val="55"/>
        </w:trPr>
        <w:tc>
          <w:tcPr>
            <w:tcW w:w="1385" w:type="dxa"/>
            <w:vAlign w:val="center"/>
          </w:tcPr>
          <w:p w:rsidR="00333B84" w:rsidRPr="00142BF7" w:rsidRDefault="00333B84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333B84" w:rsidRPr="00142BF7" w:rsidRDefault="00333B84" w:rsidP="00F004C4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1,56</w:t>
            </w:r>
          </w:p>
        </w:tc>
        <w:tc>
          <w:tcPr>
            <w:tcW w:w="1094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7,80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31,30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124,40</w:t>
            </w:r>
          </w:p>
        </w:tc>
        <w:tc>
          <w:tcPr>
            <w:tcW w:w="966" w:type="dxa"/>
            <w:gridSpan w:val="2"/>
          </w:tcPr>
          <w:p w:rsidR="00333B84" w:rsidRPr="00142BF7" w:rsidRDefault="00333B84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33,10</w:t>
            </w:r>
          </w:p>
        </w:tc>
        <w:tc>
          <w:tcPr>
            <w:tcW w:w="1409" w:type="dxa"/>
          </w:tcPr>
          <w:p w:rsidR="00333B84" w:rsidRPr="00142BF7" w:rsidRDefault="00333B84" w:rsidP="00F004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198,16</w:t>
            </w:r>
          </w:p>
        </w:tc>
      </w:tr>
      <w:tr w:rsidR="00333B84" w:rsidRPr="00142BF7" w:rsidTr="00333B84">
        <w:trPr>
          <w:trHeight w:val="55"/>
        </w:trPr>
        <w:tc>
          <w:tcPr>
            <w:tcW w:w="1385" w:type="dxa"/>
          </w:tcPr>
          <w:p w:rsidR="00333B84" w:rsidRPr="00142BF7" w:rsidRDefault="00333B84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333B84" w:rsidRPr="00142BF7" w:rsidRDefault="00333B84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26,70</w:t>
            </w:r>
          </w:p>
        </w:tc>
        <w:tc>
          <w:tcPr>
            <w:tcW w:w="1094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82,92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495,55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1297,50</w:t>
            </w:r>
          </w:p>
        </w:tc>
        <w:tc>
          <w:tcPr>
            <w:tcW w:w="966" w:type="dxa"/>
            <w:gridSpan w:val="2"/>
          </w:tcPr>
          <w:p w:rsidR="00333B84" w:rsidRPr="00142BF7" w:rsidRDefault="00333B84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454,20</w:t>
            </w:r>
          </w:p>
        </w:tc>
        <w:tc>
          <w:tcPr>
            <w:tcW w:w="1409" w:type="dxa"/>
          </w:tcPr>
          <w:p w:rsidR="00333B84" w:rsidRPr="00142BF7" w:rsidRDefault="00333B8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bCs/>
                <w:color w:val="000000"/>
              </w:rPr>
            </w:pPr>
            <w:r w:rsidRPr="00142BF7">
              <w:rPr>
                <w:rFonts w:asciiTheme="minorHAnsi" w:hAnsiTheme="minorHAnsi" w:cs="Calibri"/>
                <w:bCs/>
                <w:color w:val="000000"/>
              </w:rPr>
              <w:t>2 356,87</w:t>
            </w:r>
          </w:p>
        </w:tc>
      </w:tr>
    </w:tbl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142BF7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142BF7" w:rsidTr="00FD76C5">
        <w:tc>
          <w:tcPr>
            <w:tcW w:w="1544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142BF7" w:rsidRDefault="005109F5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8,50</w:t>
            </w:r>
          </w:p>
        </w:tc>
        <w:tc>
          <w:tcPr>
            <w:tcW w:w="1489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3,28</w:t>
            </w:r>
          </w:p>
        </w:tc>
        <w:tc>
          <w:tcPr>
            <w:tcW w:w="1573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23,96</w:t>
            </w:r>
          </w:p>
        </w:tc>
        <w:tc>
          <w:tcPr>
            <w:tcW w:w="1591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35,74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10,92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6,91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23,76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41,59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9,42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6,46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26,89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42,77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9,55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6,23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27,48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43,26</w:t>
            </w: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5109F5" w:rsidRPr="00142BF7" w:rsidRDefault="005109F5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10,68</w:t>
            </w:r>
          </w:p>
        </w:tc>
        <w:tc>
          <w:tcPr>
            <w:tcW w:w="1489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7,42</w:t>
            </w:r>
          </w:p>
        </w:tc>
        <w:tc>
          <w:tcPr>
            <w:tcW w:w="1573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25,52</w:t>
            </w:r>
          </w:p>
        </w:tc>
        <w:tc>
          <w:tcPr>
            <w:tcW w:w="1591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43,62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9,04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6,57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22,76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38,37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10,40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7,19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26,71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44,30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8,75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3,40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25,50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37,65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8,10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2,96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25,74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36,80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8,31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2,87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23,51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34,69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8,80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3,00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23,82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35,62</w:t>
            </w:r>
          </w:p>
        </w:tc>
      </w:tr>
      <w:tr w:rsidR="001F3533" w:rsidRPr="00142BF7" w:rsidTr="00F004C4">
        <w:trPr>
          <w:trHeight w:val="55"/>
        </w:trPr>
        <w:tc>
          <w:tcPr>
            <w:tcW w:w="1544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1F3533" w:rsidRPr="00142BF7" w:rsidRDefault="001F3533" w:rsidP="00F004C4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8,61</w:t>
            </w:r>
          </w:p>
        </w:tc>
        <w:tc>
          <w:tcPr>
            <w:tcW w:w="1489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3,19</w:t>
            </w:r>
          </w:p>
        </w:tc>
        <w:tc>
          <w:tcPr>
            <w:tcW w:w="1573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23,79</w:t>
            </w:r>
          </w:p>
        </w:tc>
        <w:tc>
          <w:tcPr>
            <w:tcW w:w="1591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35,59</w:t>
            </w:r>
          </w:p>
        </w:tc>
      </w:tr>
      <w:tr w:rsidR="001F3533" w:rsidRPr="00142BF7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111,08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59,48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299,44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470,00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Sprzedawcy istotnych informacji dotyczących realizacji Umowy, w szczególności o zawartych umowach sprzedaży i zmianach w umowie dystrybucyjnej mających wpływ na realizację Umowy, zauważonych nieprawidłowościach układu pomiarowo-rozliczeniowego, zmianie licznika w układzie pomiarowo-rozliczeniowym wraz z podaniem jego numeru;</w:t>
      </w:r>
    </w:p>
    <w:p w:rsidR="00FA39F3" w:rsidRPr="00142BF7" w:rsidRDefault="00FA39F3" w:rsidP="004327ED">
      <w:pPr>
        <w:pStyle w:val="Tekstpodstawowy"/>
        <w:spacing w:before="120"/>
        <w:ind w:right="-289"/>
        <w:jc w:val="both"/>
        <w:rPr>
          <w:rFonts w:asciiTheme="minorHAnsi" w:hAnsiTheme="minorHAnsi" w:cs="Arial"/>
          <w:i/>
          <w:sz w:val="20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Wykaz obiektów Kupującego objętych Umową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96862023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 70   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 WO-5615 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 xml:space="preserve"> 62-050 Mosina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3250021809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110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78 kW</w:t>
            </w:r>
          </w:p>
        </w:tc>
      </w:tr>
    </w:tbl>
    <w:p w:rsidR="004E2363" w:rsidRPr="00142BF7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Liczba układów pomiarowo-rozliczeniowych:5 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Wartość umowy wynosi ……………………………… zł brutto. Zamawiający przewidział prawo zwiększenia tej kwoty zgodnie z </w:t>
      </w:r>
      <w:r w:rsidRPr="00142BF7">
        <w:rPr>
          <w:rFonts w:asciiTheme="minorHAnsi" w:hAnsiTheme="minorHAnsi" w:cs="Arial"/>
          <w:bCs/>
        </w:rPr>
        <w:t>§ 2 ust. 6 Umowy.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511B00">
        <w:rPr>
          <w:rFonts w:asciiTheme="minorHAnsi" w:hAnsiTheme="minorHAnsi" w:cs="Arial"/>
          <w:b/>
          <w:color w:val="0070C0"/>
        </w:rPr>
        <w:t xml:space="preserve">Ceny określone w </w:t>
      </w:r>
      <w:r w:rsidR="00EA25E3" w:rsidRPr="00511B00">
        <w:rPr>
          <w:rFonts w:asciiTheme="minorHAnsi" w:hAnsiTheme="minorHAnsi" w:cs="Arial"/>
          <w:b/>
          <w:color w:val="0070C0"/>
        </w:rPr>
        <w:t>załączniku nr 1</w:t>
      </w:r>
      <w:r w:rsidR="00FA39F3" w:rsidRPr="00511B00">
        <w:rPr>
          <w:rFonts w:asciiTheme="minorHAnsi" w:hAnsiTheme="minorHAnsi" w:cs="Arial"/>
          <w:b/>
          <w:color w:val="0070C0"/>
        </w:rPr>
        <w:t xml:space="preserve"> zawierają wszystkie koszty związane z realizacją zamówienia, w tym wynagrodzenie za obsługę handlową, podatek </w:t>
      </w:r>
      <w:r w:rsidR="00511B00" w:rsidRPr="00511B00">
        <w:rPr>
          <w:rFonts w:asciiTheme="minorHAnsi" w:hAnsiTheme="minorHAnsi" w:cs="Arial"/>
          <w:b/>
          <w:color w:val="0070C0"/>
        </w:rPr>
        <w:t>akcyzowy na energię elektryczną.</w:t>
      </w:r>
      <w:r w:rsidR="00511B00">
        <w:rPr>
          <w:rFonts w:asciiTheme="minorHAnsi" w:hAnsiTheme="minorHAnsi" w:cs="Arial"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142BF7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Pr="00142BF7">
        <w:rPr>
          <w:rFonts w:asciiTheme="minorHAnsi" w:hAnsiTheme="minorHAnsi" w:cs="Arial"/>
        </w:rPr>
        <w:tab/>
        <w:t xml:space="preserve">Płatności wynikające z wystawionych przez Sprzedawcę faktur VAT będą realizowane w formie przelewu bankowego </w:t>
      </w:r>
      <w:r w:rsidRPr="00142BF7">
        <w:rPr>
          <w:rFonts w:asciiTheme="minorHAnsi" w:hAnsiTheme="minorHAnsi"/>
        </w:rPr>
        <w:t>na rachunek bankowy nr ……………………………………………</w:t>
      </w:r>
      <w:r w:rsidRPr="00142BF7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piśmie.”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opóźnienie 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Pr="00142BF7">
        <w:rPr>
          <w:rFonts w:asciiTheme="minorHAnsi" w:hAnsiTheme="minorHAnsi" w:cs="Arial"/>
        </w:rPr>
        <w:t xml:space="preserve"> 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  <w:r w:rsidR="00240469" w:rsidRPr="00142BF7">
        <w:rPr>
          <w:rFonts w:asciiTheme="minorHAnsi" w:hAnsiTheme="minorHAnsi" w:cs="Arial"/>
        </w:rPr>
        <w:t>opóźnienia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</w:t>
      </w:r>
      <w:bookmarkStart w:id="1" w:name="_GoBack"/>
      <w:bookmarkEnd w:id="1"/>
      <w:r w:rsidRPr="00142BF7">
        <w:rPr>
          <w:rFonts w:asciiTheme="minorHAnsi" w:hAnsiTheme="minorHAnsi" w:cs="Arial"/>
        </w:rPr>
        <w:t xml:space="preserve">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  <w:r w:rsidRPr="00142BF7">
        <w:rPr>
          <w:rFonts w:asciiTheme="minorHAnsi" w:hAnsiTheme="minorHAnsi" w:cs="Arial"/>
        </w:rPr>
        <w:t xml:space="preserve"> 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1) 12 miesięcy od 06.09.2019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</w:t>
      </w:r>
      <w:proofErr w:type="spellStart"/>
      <w:r w:rsidR="000E1EDC" w:rsidRPr="00142BF7">
        <w:rPr>
          <w:rFonts w:asciiTheme="minorHAnsi" w:hAnsiTheme="minorHAnsi" w:cs="Verdana"/>
          <w:lang w:eastAsia="zh-CN"/>
        </w:rPr>
        <w:t>pkt</w:t>
      </w:r>
      <w:proofErr w:type="spellEnd"/>
      <w:r w:rsidR="000E1EDC" w:rsidRPr="00142BF7">
        <w:rPr>
          <w:rFonts w:asciiTheme="minorHAnsi" w:hAnsiTheme="minorHAnsi" w:cs="Verdana"/>
          <w:lang w:eastAsia="zh-CN"/>
        </w:rPr>
        <w:t xml:space="preserve">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313311" w:rsidRPr="00142BF7">
        <w:rPr>
          <w:rFonts w:asciiTheme="minorHAnsi" w:hAnsiTheme="minorHAnsi" w:cs="Arial"/>
        </w:rPr>
        <w:t>Wykonawca zobowiązany jest do skutecznego przeprowadzenia procedury zmiany sprzedawcy w ciągu 30 dni od dnia podpisania umowy lub od dnia otrzymania pełnomocnictwa od Zamawiającego 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ust. 6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66340" w15:done="0"/>
  <w15:commentEx w15:paraId="54DA37D6" w15:done="0"/>
  <w15:commentEx w15:paraId="529CDF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66340" w16cid:durableId="209F921D"/>
  <w16cid:commentId w16cid:paraId="54DA37D6" w16cid:durableId="209F8FB3"/>
  <w16cid:commentId w16cid:paraId="529CDF50" w16cid:durableId="209F8A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EDC" w:rsidRDefault="000E1EDC">
      <w:r>
        <w:separator/>
      </w:r>
    </w:p>
  </w:endnote>
  <w:endnote w:type="continuationSeparator" w:id="1">
    <w:p w:rsidR="000E1EDC" w:rsidRDefault="000E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B" w:rsidRDefault="00A618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Pr="002F7C43" w:rsidRDefault="000E1EDC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E30766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E30766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A6186B">
      <w:rPr>
        <w:rFonts w:ascii="Arial" w:hAnsi="Arial" w:cs="Arial"/>
        <w:b/>
        <w:bCs/>
        <w:noProof/>
        <w:sz w:val="16"/>
        <w:szCs w:val="16"/>
      </w:rPr>
      <w:t>1</w:t>
    </w:r>
    <w:r w:rsidR="00E30766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E30766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E30766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A6186B">
      <w:rPr>
        <w:rFonts w:ascii="Arial" w:hAnsi="Arial" w:cs="Arial"/>
        <w:b/>
        <w:bCs/>
        <w:noProof/>
        <w:sz w:val="16"/>
        <w:szCs w:val="16"/>
      </w:rPr>
      <w:t>7</w:t>
    </w:r>
    <w:r w:rsidR="00E30766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0E1EDC" w:rsidRDefault="000E1E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B" w:rsidRDefault="00A618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EDC" w:rsidRDefault="000E1EDC">
      <w:r>
        <w:separator/>
      </w:r>
    </w:p>
  </w:footnote>
  <w:footnote w:type="continuationSeparator" w:id="1">
    <w:p w:rsidR="000E1EDC" w:rsidRDefault="000E1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B" w:rsidRDefault="00A618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Default="000E1EDC" w:rsidP="00084C29">
    <w:pPr>
      <w:pStyle w:val="Nagwek"/>
    </w:pPr>
    <w:proofErr w:type="spellStart"/>
    <w:r>
      <w:t>WCPiT</w:t>
    </w:r>
    <w:proofErr w:type="spellEnd"/>
    <w:r>
      <w:t>/EA/381-</w:t>
    </w:r>
    <w:r w:rsidR="00A6186B">
      <w:t>20</w:t>
    </w:r>
    <w:r>
      <w:t>/2019</w:t>
    </w:r>
  </w:p>
  <w:p w:rsidR="000E1EDC" w:rsidRPr="00084C29" w:rsidRDefault="000E1EDC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B" w:rsidRDefault="00A618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EFA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500EB"/>
    <w:rsid w:val="0005087C"/>
    <w:rsid w:val="00052EE3"/>
    <w:rsid w:val="000534FC"/>
    <w:rsid w:val="000535BC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330B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610"/>
    <w:rsid w:val="00092764"/>
    <w:rsid w:val="00093418"/>
    <w:rsid w:val="0009435E"/>
    <w:rsid w:val="000A35E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74FC"/>
    <w:rsid w:val="000D7903"/>
    <w:rsid w:val="000D7B6F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3DDD"/>
    <w:rsid w:val="00123E67"/>
    <w:rsid w:val="00125564"/>
    <w:rsid w:val="0012678D"/>
    <w:rsid w:val="00132242"/>
    <w:rsid w:val="001328A4"/>
    <w:rsid w:val="00133CDC"/>
    <w:rsid w:val="00136659"/>
    <w:rsid w:val="00142BF7"/>
    <w:rsid w:val="00142EAA"/>
    <w:rsid w:val="001440AC"/>
    <w:rsid w:val="00144EBF"/>
    <w:rsid w:val="00145E91"/>
    <w:rsid w:val="00152753"/>
    <w:rsid w:val="00153A04"/>
    <w:rsid w:val="00155273"/>
    <w:rsid w:val="001561A6"/>
    <w:rsid w:val="00156F99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300E"/>
    <w:rsid w:val="00214945"/>
    <w:rsid w:val="00215345"/>
    <w:rsid w:val="00215B10"/>
    <w:rsid w:val="00216216"/>
    <w:rsid w:val="00220451"/>
    <w:rsid w:val="00223295"/>
    <w:rsid w:val="00223824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2B3C"/>
    <w:rsid w:val="00253955"/>
    <w:rsid w:val="00254D42"/>
    <w:rsid w:val="00257D34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4943"/>
    <w:rsid w:val="0029578F"/>
    <w:rsid w:val="0029638D"/>
    <w:rsid w:val="002A151B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5993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6019B"/>
    <w:rsid w:val="003618D4"/>
    <w:rsid w:val="00362AF6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696"/>
    <w:rsid w:val="003C73B3"/>
    <w:rsid w:val="003C757B"/>
    <w:rsid w:val="003D2258"/>
    <w:rsid w:val="003D27CC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3FE"/>
    <w:rsid w:val="0049357B"/>
    <w:rsid w:val="00497B82"/>
    <w:rsid w:val="00497D95"/>
    <w:rsid w:val="004A0666"/>
    <w:rsid w:val="004A1A3B"/>
    <w:rsid w:val="004A3705"/>
    <w:rsid w:val="004A3F4F"/>
    <w:rsid w:val="004A44BB"/>
    <w:rsid w:val="004A608D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970"/>
    <w:rsid w:val="004D532A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ADA"/>
    <w:rsid w:val="00645EBC"/>
    <w:rsid w:val="0065004C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10662"/>
    <w:rsid w:val="007138BF"/>
    <w:rsid w:val="007143DE"/>
    <w:rsid w:val="007147DD"/>
    <w:rsid w:val="00714E3C"/>
    <w:rsid w:val="0071627D"/>
    <w:rsid w:val="0072146C"/>
    <w:rsid w:val="00724EB2"/>
    <w:rsid w:val="00730A55"/>
    <w:rsid w:val="007340C2"/>
    <w:rsid w:val="007417C6"/>
    <w:rsid w:val="0074481A"/>
    <w:rsid w:val="007464B0"/>
    <w:rsid w:val="00747645"/>
    <w:rsid w:val="0074769D"/>
    <w:rsid w:val="00750EAB"/>
    <w:rsid w:val="00751766"/>
    <w:rsid w:val="00751ED2"/>
    <w:rsid w:val="0075210A"/>
    <w:rsid w:val="007575B5"/>
    <w:rsid w:val="0075786C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1101"/>
    <w:rsid w:val="0079249F"/>
    <w:rsid w:val="00794E4B"/>
    <w:rsid w:val="00795CE4"/>
    <w:rsid w:val="00797F7F"/>
    <w:rsid w:val="007A1573"/>
    <w:rsid w:val="007A5C8B"/>
    <w:rsid w:val="007A6495"/>
    <w:rsid w:val="007A68C7"/>
    <w:rsid w:val="007A6C03"/>
    <w:rsid w:val="007A7EDA"/>
    <w:rsid w:val="007B1EA9"/>
    <w:rsid w:val="007B6C11"/>
    <w:rsid w:val="007B6CEA"/>
    <w:rsid w:val="007C2213"/>
    <w:rsid w:val="007C2BF0"/>
    <w:rsid w:val="007C3544"/>
    <w:rsid w:val="007D1235"/>
    <w:rsid w:val="007D1753"/>
    <w:rsid w:val="007D282A"/>
    <w:rsid w:val="007D3344"/>
    <w:rsid w:val="007D574D"/>
    <w:rsid w:val="007D7D72"/>
    <w:rsid w:val="007D7DC6"/>
    <w:rsid w:val="007E167B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6B"/>
    <w:rsid w:val="00801783"/>
    <w:rsid w:val="00803C3B"/>
    <w:rsid w:val="00807DA9"/>
    <w:rsid w:val="00810230"/>
    <w:rsid w:val="0081210E"/>
    <w:rsid w:val="00813CA1"/>
    <w:rsid w:val="00820091"/>
    <w:rsid w:val="0082104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A55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F97"/>
    <w:rsid w:val="008872F0"/>
    <w:rsid w:val="008875ED"/>
    <w:rsid w:val="00892BDA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6996"/>
    <w:rsid w:val="00947815"/>
    <w:rsid w:val="00950EF7"/>
    <w:rsid w:val="00951218"/>
    <w:rsid w:val="00951671"/>
    <w:rsid w:val="00952920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2DDA"/>
    <w:rsid w:val="0097384D"/>
    <w:rsid w:val="009745A6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95F2D"/>
    <w:rsid w:val="009A4B95"/>
    <w:rsid w:val="009A598D"/>
    <w:rsid w:val="009B1CB8"/>
    <w:rsid w:val="009B1EB5"/>
    <w:rsid w:val="009B27D3"/>
    <w:rsid w:val="009C1708"/>
    <w:rsid w:val="009C350B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8FE"/>
    <w:rsid w:val="00A0144B"/>
    <w:rsid w:val="00A02168"/>
    <w:rsid w:val="00A026E0"/>
    <w:rsid w:val="00A04E97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186B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883"/>
    <w:rsid w:val="00AA2302"/>
    <w:rsid w:val="00AA345F"/>
    <w:rsid w:val="00AA50C3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5E83"/>
    <w:rsid w:val="00AC6556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546B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5D34"/>
    <w:rsid w:val="00BA5FB9"/>
    <w:rsid w:val="00BA71D9"/>
    <w:rsid w:val="00BA741C"/>
    <w:rsid w:val="00BA7DA4"/>
    <w:rsid w:val="00BB0108"/>
    <w:rsid w:val="00BB223D"/>
    <w:rsid w:val="00BB32A2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704E3"/>
    <w:rsid w:val="00C71F43"/>
    <w:rsid w:val="00C725AE"/>
    <w:rsid w:val="00C741A0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4D1E"/>
    <w:rsid w:val="00C951A9"/>
    <w:rsid w:val="00C97E27"/>
    <w:rsid w:val="00CA1DE4"/>
    <w:rsid w:val="00CA309B"/>
    <w:rsid w:val="00CA3882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449F"/>
    <w:rsid w:val="00CD5D1C"/>
    <w:rsid w:val="00CE278C"/>
    <w:rsid w:val="00CE41D0"/>
    <w:rsid w:val="00CE5485"/>
    <w:rsid w:val="00CE6176"/>
    <w:rsid w:val="00CE7C90"/>
    <w:rsid w:val="00CF0EEE"/>
    <w:rsid w:val="00CF5574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366BD"/>
    <w:rsid w:val="00D41862"/>
    <w:rsid w:val="00D424C6"/>
    <w:rsid w:val="00D4364C"/>
    <w:rsid w:val="00D43C8F"/>
    <w:rsid w:val="00D44786"/>
    <w:rsid w:val="00D4481C"/>
    <w:rsid w:val="00D45CAE"/>
    <w:rsid w:val="00D461B2"/>
    <w:rsid w:val="00D47950"/>
    <w:rsid w:val="00D50A50"/>
    <w:rsid w:val="00D51314"/>
    <w:rsid w:val="00D51FAD"/>
    <w:rsid w:val="00D532F0"/>
    <w:rsid w:val="00D550C0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4CDC"/>
    <w:rsid w:val="00D7552F"/>
    <w:rsid w:val="00D8208D"/>
    <w:rsid w:val="00D82B44"/>
    <w:rsid w:val="00D83203"/>
    <w:rsid w:val="00D84CA1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6DB"/>
    <w:rsid w:val="00DB35FF"/>
    <w:rsid w:val="00DC100E"/>
    <w:rsid w:val="00DC136D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1AF3"/>
    <w:rsid w:val="00DF2F20"/>
    <w:rsid w:val="00DF5E3A"/>
    <w:rsid w:val="00DF68B2"/>
    <w:rsid w:val="00DF78CF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359"/>
    <w:rsid w:val="00E21690"/>
    <w:rsid w:val="00E25B44"/>
    <w:rsid w:val="00E26590"/>
    <w:rsid w:val="00E27D87"/>
    <w:rsid w:val="00E30766"/>
    <w:rsid w:val="00E30C83"/>
    <w:rsid w:val="00E31054"/>
    <w:rsid w:val="00E318ED"/>
    <w:rsid w:val="00E31DDE"/>
    <w:rsid w:val="00E32922"/>
    <w:rsid w:val="00E349E6"/>
    <w:rsid w:val="00E353F2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257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F9C"/>
    <w:rsid w:val="00EB30C4"/>
    <w:rsid w:val="00EC0559"/>
    <w:rsid w:val="00EC2764"/>
    <w:rsid w:val="00EC2C2F"/>
    <w:rsid w:val="00EC48FD"/>
    <w:rsid w:val="00EC4E49"/>
    <w:rsid w:val="00EC5BAC"/>
    <w:rsid w:val="00EC6715"/>
    <w:rsid w:val="00ED01A9"/>
    <w:rsid w:val="00ED0FD1"/>
    <w:rsid w:val="00ED1C56"/>
    <w:rsid w:val="00ED2D53"/>
    <w:rsid w:val="00ED3071"/>
    <w:rsid w:val="00ED3481"/>
    <w:rsid w:val="00ED3875"/>
    <w:rsid w:val="00EE0A6C"/>
    <w:rsid w:val="00EE5121"/>
    <w:rsid w:val="00EE6129"/>
    <w:rsid w:val="00EE7B28"/>
    <w:rsid w:val="00EF0FC1"/>
    <w:rsid w:val="00EF7D52"/>
    <w:rsid w:val="00F004C4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60E2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636C"/>
    <w:rsid w:val="00FB0126"/>
    <w:rsid w:val="00FB0448"/>
    <w:rsid w:val="00FC09B2"/>
    <w:rsid w:val="00FC2A2C"/>
    <w:rsid w:val="00FC2E63"/>
    <w:rsid w:val="00FC3AF7"/>
    <w:rsid w:val="00FC6E25"/>
    <w:rsid w:val="00FD0273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2651</Words>
  <Characters>16260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mbuksa</cp:lastModifiedBy>
  <cp:revision>4</cp:revision>
  <cp:lastPrinted>2019-07-02T06:37:00Z</cp:lastPrinted>
  <dcterms:created xsi:type="dcterms:W3CDTF">2019-07-02T06:33:00Z</dcterms:created>
  <dcterms:modified xsi:type="dcterms:W3CDTF">2019-07-09T07:37:00Z</dcterms:modified>
</cp:coreProperties>
</file>