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B8" w:rsidRDefault="009050B8" w:rsidP="003B20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9D4AC8">
        <w:rPr>
          <w:rFonts w:ascii="Times New Roman" w:hAnsi="Times New Roman" w:cs="Times New Roman"/>
          <w:sz w:val="24"/>
          <w:szCs w:val="24"/>
        </w:rPr>
        <w:t>nr 1</w:t>
      </w:r>
    </w:p>
    <w:p w:rsidR="009D4AC8" w:rsidRDefault="009D4AC8" w:rsidP="003B20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50B8" w:rsidRDefault="009050B8" w:rsidP="008C3DD0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 xml:space="preserve">Parametry </w:t>
      </w:r>
      <w:r w:rsidR="00051FE7" w:rsidRPr="008C3DD0">
        <w:rPr>
          <w:rFonts w:ascii="Times New Roman" w:hAnsi="Times New Roman" w:cs="Times New Roman"/>
          <w:sz w:val="24"/>
          <w:szCs w:val="24"/>
        </w:rPr>
        <w:t xml:space="preserve">wymagane </w:t>
      </w:r>
      <w:r w:rsidRPr="008C3DD0">
        <w:rPr>
          <w:rFonts w:ascii="Times New Roman" w:hAnsi="Times New Roman" w:cs="Times New Roman"/>
          <w:sz w:val="24"/>
          <w:szCs w:val="24"/>
        </w:rPr>
        <w:t>systemu do barwień immunohistochemicznych.</w:t>
      </w:r>
    </w:p>
    <w:p w:rsidR="00D6157F" w:rsidRPr="008C3DD0" w:rsidRDefault="00D6157F" w:rsidP="00D6157F">
      <w:pPr>
        <w:pStyle w:val="Akapitzlist"/>
        <w:spacing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CC66B0" w:rsidRDefault="000564FA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aparatu/</w:t>
      </w:r>
      <w:r w:rsidR="009B6B75">
        <w:rPr>
          <w:rFonts w:ascii="Times New Roman" w:hAnsi="Times New Roman" w:cs="Times New Roman"/>
          <w:sz w:val="24"/>
          <w:szCs w:val="24"/>
        </w:rPr>
        <w:t xml:space="preserve">aparatów nie starszy niż 2017 </w:t>
      </w:r>
      <w:proofErr w:type="spellStart"/>
      <w:r w:rsidR="009B6B7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B6B75">
        <w:rPr>
          <w:rFonts w:ascii="Times New Roman" w:hAnsi="Times New Roman" w:cs="Times New Roman"/>
          <w:sz w:val="24"/>
          <w:szCs w:val="24"/>
        </w:rPr>
        <w:t xml:space="preserve"> – przy czym zamawiający ma być pierwszym użytkownikiem.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BD3" w:rsidRPr="00575AC5" w:rsidRDefault="00974BD3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</w:t>
      </w:r>
      <w:r w:rsidR="00D01C5C">
        <w:rPr>
          <w:rFonts w:ascii="Times New Roman" w:hAnsi="Times New Roman" w:cs="Times New Roman"/>
          <w:sz w:val="24"/>
          <w:szCs w:val="24"/>
        </w:rPr>
        <w:t>do barwień immunohistochemicznych</w:t>
      </w:r>
      <w:r w:rsidR="00D01C5C" w:rsidRPr="00575AC5">
        <w:rPr>
          <w:rFonts w:ascii="Times New Roman" w:hAnsi="Times New Roman" w:cs="Times New Roman"/>
          <w:sz w:val="24"/>
          <w:szCs w:val="24"/>
        </w:rPr>
        <w:t xml:space="preserve"> </w:t>
      </w:r>
      <w:r w:rsidR="00D01C5C">
        <w:rPr>
          <w:rFonts w:ascii="Times New Roman" w:hAnsi="Times New Roman" w:cs="Times New Roman"/>
          <w:sz w:val="24"/>
          <w:szCs w:val="24"/>
        </w:rPr>
        <w:t>(</w:t>
      </w:r>
      <w:r w:rsidR="00D01C5C" w:rsidRPr="00D01C5C">
        <w:rPr>
          <w:rFonts w:ascii="Times New Roman" w:hAnsi="Times New Roman" w:cs="Times New Roman"/>
          <w:sz w:val="20"/>
          <w:szCs w:val="20"/>
        </w:rPr>
        <w:t>zwany dalej SYSTEMEM IHC</w:t>
      </w:r>
      <w:r w:rsidR="00D01C5C">
        <w:rPr>
          <w:rFonts w:ascii="Times New Roman" w:hAnsi="Times New Roman" w:cs="Times New Roman"/>
          <w:sz w:val="24"/>
          <w:szCs w:val="24"/>
        </w:rPr>
        <w:t xml:space="preserve">) </w:t>
      </w:r>
      <w:r w:rsidRPr="00575AC5">
        <w:rPr>
          <w:rFonts w:ascii="Times New Roman" w:hAnsi="Times New Roman" w:cs="Times New Roman"/>
          <w:sz w:val="24"/>
          <w:szCs w:val="24"/>
        </w:rPr>
        <w:t>wolnostojący.</w:t>
      </w:r>
    </w:p>
    <w:p w:rsidR="00CF0A71" w:rsidRDefault="000564FA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 </w:t>
      </w:r>
      <w:r w:rsidR="00D97763">
        <w:rPr>
          <w:rFonts w:ascii="Times New Roman" w:hAnsi="Times New Roman" w:cs="Times New Roman"/>
          <w:sz w:val="24"/>
          <w:szCs w:val="24"/>
        </w:rPr>
        <w:t>80</w:t>
      </w:r>
      <w:r w:rsidR="002D0E9B" w:rsidRPr="00575AC5">
        <w:rPr>
          <w:rFonts w:ascii="Times New Roman" w:hAnsi="Times New Roman" w:cs="Times New Roman"/>
          <w:sz w:val="24"/>
          <w:szCs w:val="24"/>
        </w:rPr>
        <w:t xml:space="preserve"> miejsc na barwione szkiełka</w:t>
      </w:r>
      <w:r w:rsidR="002954BC">
        <w:rPr>
          <w:rFonts w:ascii="Times New Roman" w:hAnsi="Times New Roman" w:cs="Times New Roman"/>
          <w:sz w:val="24"/>
          <w:szCs w:val="24"/>
        </w:rPr>
        <w:t xml:space="preserve"> (w przypadku braku wymaganej liczby miejsc – dostarczenie </w:t>
      </w:r>
      <w:r w:rsidR="00734530">
        <w:rPr>
          <w:rFonts w:ascii="Times New Roman" w:hAnsi="Times New Roman" w:cs="Times New Roman"/>
          <w:sz w:val="24"/>
          <w:szCs w:val="24"/>
        </w:rPr>
        <w:t>dodatkowych</w:t>
      </w:r>
      <w:r w:rsidR="002954BC">
        <w:rPr>
          <w:rFonts w:ascii="Times New Roman" w:hAnsi="Times New Roman" w:cs="Times New Roman"/>
          <w:sz w:val="24"/>
          <w:szCs w:val="24"/>
        </w:rPr>
        <w:t xml:space="preserve"> aparat</w:t>
      </w:r>
      <w:r w:rsidR="00D97763">
        <w:rPr>
          <w:rFonts w:ascii="Times New Roman" w:hAnsi="Times New Roman" w:cs="Times New Roman"/>
          <w:sz w:val="24"/>
          <w:szCs w:val="24"/>
        </w:rPr>
        <w:t>ów</w:t>
      </w:r>
      <w:r w:rsidR="002954BC">
        <w:rPr>
          <w:rFonts w:ascii="Times New Roman" w:hAnsi="Times New Roman" w:cs="Times New Roman"/>
          <w:sz w:val="24"/>
          <w:szCs w:val="24"/>
        </w:rPr>
        <w:t>).</w:t>
      </w:r>
    </w:p>
    <w:p w:rsidR="002D0E9B" w:rsidRDefault="00CF0A71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puszczenia na raz co najmniej</w:t>
      </w:r>
      <w:r w:rsidR="00295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 preparatów.</w:t>
      </w:r>
    </w:p>
    <w:p w:rsidR="00F11195" w:rsidRPr="00575AC5" w:rsidRDefault="00F11195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</w:t>
      </w:r>
      <w:r w:rsidR="00D97763">
        <w:rPr>
          <w:rFonts w:ascii="Times New Roman" w:hAnsi="Times New Roman" w:cs="Times New Roman"/>
          <w:sz w:val="24"/>
          <w:szCs w:val="24"/>
        </w:rPr>
        <w:t>/-y</w:t>
      </w:r>
      <w:r>
        <w:rPr>
          <w:rFonts w:ascii="Times New Roman" w:hAnsi="Times New Roman" w:cs="Times New Roman"/>
          <w:sz w:val="24"/>
          <w:szCs w:val="24"/>
        </w:rPr>
        <w:t xml:space="preserve"> posiadający</w:t>
      </w:r>
      <w:r w:rsidR="00D97763">
        <w:rPr>
          <w:rFonts w:ascii="Times New Roman" w:hAnsi="Times New Roman" w:cs="Times New Roman"/>
          <w:sz w:val="24"/>
          <w:szCs w:val="24"/>
        </w:rPr>
        <w:t>/-e</w:t>
      </w:r>
      <w:r>
        <w:rPr>
          <w:rFonts w:ascii="Times New Roman" w:hAnsi="Times New Roman" w:cs="Times New Roman"/>
          <w:sz w:val="24"/>
          <w:szCs w:val="24"/>
        </w:rPr>
        <w:t xml:space="preserve"> niezbędne certyfikaty do diagnostyki pacjenta CE i IVD.</w:t>
      </w:r>
    </w:p>
    <w:p w:rsidR="00974BD3" w:rsidRDefault="00C61BC4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pracujący w technologii </w:t>
      </w:r>
      <w:proofErr w:type="spellStart"/>
      <w:r w:rsidRPr="00575AC5">
        <w:rPr>
          <w:rFonts w:ascii="Times New Roman" w:hAnsi="Times New Roman" w:cs="Times New Roman"/>
          <w:sz w:val="24"/>
          <w:szCs w:val="24"/>
        </w:rPr>
        <w:t>bezksylenowej</w:t>
      </w:r>
      <w:proofErr w:type="spellEnd"/>
      <w:r w:rsidRPr="00575AC5">
        <w:rPr>
          <w:rFonts w:ascii="Times New Roman" w:hAnsi="Times New Roman" w:cs="Times New Roman"/>
          <w:sz w:val="24"/>
          <w:szCs w:val="24"/>
        </w:rPr>
        <w:t>.</w:t>
      </w:r>
    </w:p>
    <w:p w:rsidR="00FD63C6" w:rsidRDefault="00FD63C6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etapy procedur immunohistochemicznych powinny być wykonywane na pokładzie jednego aparatu</w:t>
      </w:r>
      <w:r w:rsidR="00FC3DDC">
        <w:rPr>
          <w:rFonts w:ascii="Times New Roman" w:hAnsi="Times New Roman" w:cs="Times New Roman"/>
          <w:sz w:val="24"/>
          <w:szCs w:val="24"/>
        </w:rPr>
        <w:t xml:space="preserve"> w celu eliminacji</w:t>
      </w:r>
      <w:r w:rsidR="00734530">
        <w:rPr>
          <w:rFonts w:ascii="Times New Roman" w:hAnsi="Times New Roman" w:cs="Times New Roman"/>
          <w:sz w:val="24"/>
          <w:szCs w:val="24"/>
        </w:rPr>
        <w:t>/ograniczenia</w:t>
      </w:r>
      <w:r w:rsidR="00FC3DDC">
        <w:rPr>
          <w:rFonts w:ascii="Times New Roman" w:hAnsi="Times New Roman" w:cs="Times New Roman"/>
          <w:sz w:val="24"/>
          <w:szCs w:val="24"/>
        </w:rPr>
        <w:t xml:space="preserve"> czynności manualnych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FCB" w:rsidRPr="00575AC5" w:rsidRDefault="004B0FCB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pracy  z następującymi rodzajami preparatów: skrawki parafinowe, rozmazy, </w:t>
      </w:r>
      <w:proofErr w:type="spellStart"/>
      <w:r>
        <w:rPr>
          <w:rFonts w:ascii="Times New Roman" w:hAnsi="Times New Roman" w:cs="Times New Roman"/>
          <w:sz w:val="24"/>
          <w:szCs w:val="24"/>
        </w:rPr>
        <w:t>cytospiny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bioptaty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1BC4" w:rsidRPr="00575AC5" w:rsidRDefault="00C61BC4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Aparat zabezpieczający tkankę przed wyschnięciem na każdym etapie barwienia.</w:t>
      </w:r>
    </w:p>
    <w:p w:rsidR="008664AA" w:rsidRPr="00575AC5" w:rsidRDefault="00734530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664AA" w:rsidRPr="00575AC5">
        <w:rPr>
          <w:rFonts w:ascii="Times New Roman" w:hAnsi="Times New Roman" w:cs="Times New Roman"/>
          <w:sz w:val="24"/>
          <w:szCs w:val="24"/>
        </w:rPr>
        <w:t>yposażenie urządzenia w system UPS</w:t>
      </w:r>
      <w:r w:rsidR="00FF2A2D">
        <w:rPr>
          <w:rFonts w:ascii="Times New Roman" w:hAnsi="Times New Roman" w:cs="Times New Roman"/>
          <w:sz w:val="24"/>
          <w:szCs w:val="24"/>
        </w:rPr>
        <w:t xml:space="preserve"> (</w:t>
      </w:r>
      <w:r w:rsidR="008664AA" w:rsidRPr="00575AC5">
        <w:rPr>
          <w:rFonts w:ascii="Times New Roman" w:hAnsi="Times New Roman" w:cs="Times New Roman"/>
          <w:sz w:val="24"/>
          <w:szCs w:val="24"/>
        </w:rPr>
        <w:t>wymagane podanie czasu podtrzymania barwienia</w:t>
      </w:r>
      <w:r w:rsidR="00FF2A2D">
        <w:rPr>
          <w:rFonts w:ascii="Times New Roman" w:hAnsi="Times New Roman" w:cs="Times New Roman"/>
          <w:sz w:val="24"/>
          <w:szCs w:val="24"/>
        </w:rPr>
        <w:t>)</w:t>
      </w:r>
      <w:r w:rsidR="008664AA" w:rsidRPr="00575AC5">
        <w:rPr>
          <w:rFonts w:ascii="Times New Roman" w:hAnsi="Times New Roman" w:cs="Times New Roman"/>
          <w:sz w:val="24"/>
          <w:szCs w:val="24"/>
        </w:rPr>
        <w:t>.</w:t>
      </w:r>
    </w:p>
    <w:p w:rsidR="00C61BC4" w:rsidRPr="00575AC5" w:rsidRDefault="00C61BC4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Opcja zaprogramowania aparatu na „opóźniony start”</w:t>
      </w:r>
    </w:p>
    <w:p w:rsidR="00C415D2" w:rsidRPr="00575AC5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Możliwość stosowania więcej niż jednego protokołu barwienia w jednym cyklu pracy.</w:t>
      </w:r>
    </w:p>
    <w:p w:rsidR="00C415D2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System detekcyjny musi eliminować artefakty spowodowane endogenną biotyną.</w:t>
      </w:r>
    </w:p>
    <w:p w:rsidR="00FC3DDC" w:rsidRPr="00575AC5" w:rsidRDefault="00FC3DDC" w:rsidP="00FC3D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Temperatura operacji – </w:t>
      </w:r>
      <w:r w:rsidR="00752DB7">
        <w:rPr>
          <w:rFonts w:ascii="Times New Roman" w:hAnsi="Times New Roman" w:cs="Times New Roman"/>
          <w:sz w:val="24"/>
          <w:szCs w:val="24"/>
        </w:rPr>
        <w:t>pokojowa lub z możliwością</w:t>
      </w:r>
      <w:r>
        <w:rPr>
          <w:rFonts w:ascii="Times New Roman" w:hAnsi="Times New Roman" w:cs="Times New Roman"/>
          <w:sz w:val="24"/>
          <w:szCs w:val="24"/>
        </w:rPr>
        <w:t xml:space="preserve"> ustawienia odpowiedniej temperatury inkubacji dla każdego szkiełka/przeciwciała. </w:t>
      </w:r>
    </w:p>
    <w:p w:rsidR="00C415D2" w:rsidRDefault="00C415D2" w:rsidP="00C415D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23BC">
        <w:rPr>
          <w:rFonts w:ascii="Times New Roman" w:hAnsi="Times New Roman" w:cs="Times New Roman"/>
          <w:sz w:val="24"/>
          <w:szCs w:val="24"/>
        </w:rPr>
        <w:t>Wykonawca zapewni optymalizację protokołów barwienia na tkankach o wysokiej i niskiej ekspresji antygenów.</w:t>
      </w:r>
    </w:p>
    <w:p w:rsidR="00443C59" w:rsidRDefault="00443C59" w:rsidP="00C415D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 przeszkolenie dwóch osób z personelu Zakładu Patologii Klinicznej i Genetyki Medycznej z zakresu obsługi aparatów, potwierdzone certyfikatem.</w:t>
      </w:r>
    </w:p>
    <w:p w:rsidR="00C415D2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Możliwość wykorzystania pierwotnych przeciwciał i systemów detekcji różnych producentów – otwarty układ pracy dla przeciwciał i systemów detekcji.</w:t>
      </w:r>
    </w:p>
    <w:p w:rsidR="00C415D2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5AC5">
        <w:rPr>
          <w:rFonts w:ascii="Times New Roman" w:hAnsi="Times New Roman" w:cs="Times New Roman"/>
          <w:sz w:val="24"/>
          <w:szCs w:val="24"/>
        </w:rPr>
        <w:t>Barkodowy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kreskowy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czipowy</w:t>
      </w:r>
      <w:proofErr w:type="spellEnd"/>
      <w:r w:rsidRPr="00575AC5">
        <w:rPr>
          <w:rFonts w:ascii="Times New Roman" w:hAnsi="Times New Roman" w:cs="Times New Roman"/>
          <w:sz w:val="24"/>
          <w:szCs w:val="24"/>
        </w:rPr>
        <w:t xml:space="preserve"> system identyfikacji odczynników i szkiełek.</w:t>
      </w:r>
    </w:p>
    <w:p w:rsidR="00C415D2" w:rsidRDefault="00C415D2" w:rsidP="00C415D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784F">
        <w:rPr>
          <w:rFonts w:ascii="Times New Roman" w:hAnsi="Times New Roman" w:cs="Times New Roman"/>
          <w:sz w:val="24"/>
          <w:szCs w:val="24"/>
        </w:rPr>
        <w:t xml:space="preserve">Możliwość </w:t>
      </w:r>
      <w:r>
        <w:rPr>
          <w:rFonts w:ascii="Times New Roman" w:hAnsi="Times New Roman" w:cs="Times New Roman"/>
          <w:sz w:val="24"/>
          <w:szCs w:val="24"/>
        </w:rPr>
        <w:t>sprawdzenia w każdej chwili aktualnej objętości posiadanych odczynników i przeciwciał.</w:t>
      </w:r>
    </w:p>
    <w:p w:rsidR="00C415D2" w:rsidRPr="00C415D2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Przedmiot zamówienia ma być dostarczony w opakowaniu producenta.</w:t>
      </w:r>
    </w:p>
    <w:p w:rsidR="00F058BA" w:rsidRDefault="00F058BA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lastRenderedPageBreak/>
        <w:t xml:space="preserve">W przypadku transportu i montażu – należy uwzględnić fakt, iż szerokość drzwi prowadzących do pomieszczenia przewidzianego jako miejsce wykonywania badań IHC </w:t>
      </w:r>
      <w:r w:rsidR="00D01C5C">
        <w:rPr>
          <w:rFonts w:ascii="Times New Roman" w:hAnsi="Times New Roman" w:cs="Times New Roman"/>
          <w:sz w:val="24"/>
          <w:szCs w:val="24"/>
        </w:rPr>
        <w:t>wynosi</w:t>
      </w:r>
      <w:r w:rsidR="007C6473">
        <w:rPr>
          <w:rFonts w:ascii="Times New Roman" w:hAnsi="Times New Roman" w:cs="Times New Roman"/>
          <w:sz w:val="24"/>
          <w:szCs w:val="24"/>
        </w:rPr>
        <w:t xml:space="preserve"> </w:t>
      </w:r>
      <w:r w:rsidR="005A713B">
        <w:rPr>
          <w:rFonts w:ascii="Times New Roman" w:hAnsi="Times New Roman" w:cs="Times New Roman"/>
          <w:sz w:val="24"/>
          <w:szCs w:val="24"/>
        </w:rPr>
        <w:t>90</w:t>
      </w:r>
      <w:r w:rsidR="007C6473">
        <w:rPr>
          <w:rFonts w:ascii="Times New Roman" w:hAnsi="Times New Roman" w:cs="Times New Roman"/>
          <w:sz w:val="24"/>
          <w:szCs w:val="24"/>
        </w:rPr>
        <w:t xml:space="preserve"> cm</w:t>
      </w:r>
      <w:r w:rsidRPr="00575AC5">
        <w:rPr>
          <w:rFonts w:ascii="Times New Roman" w:hAnsi="Times New Roman" w:cs="Times New Roman"/>
          <w:sz w:val="24"/>
          <w:szCs w:val="24"/>
        </w:rPr>
        <w:t xml:space="preserve"> a odległość otworu drzwiowego od przeciwległej ściany wynosi</w:t>
      </w:r>
      <w:r w:rsidR="007C6473">
        <w:rPr>
          <w:rFonts w:ascii="Times New Roman" w:hAnsi="Times New Roman" w:cs="Times New Roman"/>
          <w:sz w:val="24"/>
          <w:szCs w:val="24"/>
        </w:rPr>
        <w:t xml:space="preserve"> </w:t>
      </w:r>
      <w:r w:rsidR="005A713B">
        <w:rPr>
          <w:rFonts w:ascii="Times New Roman" w:hAnsi="Times New Roman" w:cs="Times New Roman"/>
          <w:sz w:val="24"/>
          <w:szCs w:val="24"/>
        </w:rPr>
        <w:t>140</w:t>
      </w:r>
      <w:r w:rsidR="007C6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473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="007C6473">
        <w:rPr>
          <w:rFonts w:ascii="Times New Roman" w:hAnsi="Times New Roman" w:cs="Times New Roman"/>
          <w:sz w:val="24"/>
          <w:szCs w:val="24"/>
        </w:rPr>
        <w:t>.</w:t>
      </w:r>
      <w:r w:rsidRPr="00575AC5">
        <w:rPr>
          <w:rFonts w:ascii="Times New Roman" w:hAnsi="Times New Roman" w:cs="Times New Roman"/>
          <w:sz w:val="24"/>
          <w:szCs w:val="24"/>
        </w:rPr>
        <w:t xml:space="preserve"> Brak możliwości składowania dużych ładunków. Sprzęt powinien być tak spakowany aby była możliwość bezkonfliktowego dostarczenia go na miejsce użytkowania lub dostawa w przypadku ładunku wielkogabarytowego była tak logistycznie rozwiązana by dostawa, rozpakowanie i montaż odbyły się tego samego dnia.</w:t>
      </w:r>
      <w:r w:rsidR="007C6473">
        <w:rPr>
          <w:rFonts w:ascii="Times New Roman" w:hAnsi="Times New Roman" w:cs="Times New Roman"/>
          <w:sz w:val="24"/>
          <w:szCs w:val="24"/>
        </w:rPr>
        <w:t xml:space="preserve"> Brak możliwości składowania wymusza przechowywanie skrzyń transportowych przez Wykonawcę.</w:t>
      </w:r>
      <w:r w:rsidRPr="00575AC5">
        <w:rPr>
          <w:rFonts w:ascii="Times New Roman" w:hAnsi="Times New Roman" w:cs="Times New Roman"/>
          <w:sz w:val="24"/>
          <w:szCs w:val="24"/>
        </w:rPr>
        <w:t xml:space="preserve"> W przypadku braku możliwości dostarczenia sprzętu na miejsce </w:t>
      </w:r>
      <w:r w:rsidR="009926DE" w:rsidRPr="00575AC5">
        <w:rPr>
          <w:rFonts w:ascii="Times New Roman" w:hAnsi="Times New Roman" w:cs="Times New Roman"/>
          <w:sz w:val="24"/>
          <w:szCs w:val="24"/>
        </w:rPr>
        <w:t>użytkowania – umowa ulega rozwiązaniu.</w:t>
      </w:r>
    </w:p>
    <w:p w:rsidR="00647D7D" w:rsidRPr="00575AC5" w:rsidRDefault="00647D7D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Sprzęt i oprogramowanie</w:t>
      </w:r>
      <w:r w:rsidR="00A7647D" w:rsidRPr="00575AC5">
        <w:rPr>
          <w:rFonts w:ascii="Times New Roman" w:hAnsi="Times New Roman" w:cs="Times New Roman"/>
          <w:sz w:val="24"/>
          <w:szCs w:val="24"/>
        </w:rPr>
        <w:t xml:space="preserve"> do obsługi informatycznej w zestawie.</w:t>
      </w:r>
    </w:p>
    <w:p w:rsidR="00396475" w:rsidRPr="00575AC5" w:rsidRDefault="00396475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Instrukcja obsługi w zakresie eksploatacji i konserwacji oraz dokumentacja techniczna w języku polskim, założenie paszportu technicznego wraz z dostawą </w:t>
      </w:r>
      <w:r w:rsidR="005A713B">
        <w:rPr>
          <w:rFonts w:ascii="Times New Roman" w:hAnsi="Times New Roman" w:cs="Times New Roman"/>
          <w:sz w:val="24"/>
          <w:szCs w:val="24"/>
        </w:rPr>
        <w:t>aparatu/ów</w:t>
      </w:r>
    </w:p>
    <w:p w:rsidR="00B01BC3" w:rsidRPr="00575AC5" w:rsidRDefault="00B01BC3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Niezależna zewnętrzna kontrola jakości dla SYSTEMU IHC  polegająca na:</w:t>
      </w:r>
    </w:p>
    <w:p w:rsidR="001B4FB6" w:rsidRDefault="00B01BC3" w:rsidP="001B4FB6">
      <w:pPr>
        <w:numPr>
          <w:ilvl w:val="0"/>
          <w:numId w:val="3"/>
        </w:numPr>
        <w:tabs>
          <w:tab w:val="left" w:pos="1800"/>
        </w:tabs>
        <w:suppressAutoHyphens/>
        <w:autoSpaceDE w:val="0"/>
        <w:autoSpaceDN w:val="0"/>
        <w:adjustRightInd w:val="0"/>
        <w:spacing w:before="0" w:line="276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uczestnictwie w testach weryfikujących jakość barwień laboratorium</w:t>
      </w:r>
      <w:r w:rsidR="00734530" w:rsidRPr="00734530">
        <w:rPr>
          <w:rFonts w:ascii="Times New Roman" w:hAnsi="Times New Roman" w:cs="Times New Roman"/>
          <w:sz w:val="24"/>
          <w:szCs w:val="24"/>
        </w:rPr>
        <w:t xml:space="preserve"> </w:t>
      </w:r>
      <w:r w:rsidR="00734530" w:rsidRPr="00575AC5">
        <w:rPr>
          <w:rFonts w:ascii="Times New Roman" w:hAnsi="Times New Roman" w:cs="Times New Roman"/>
          <w:sz w:val="24"/>
          <w:szCs w:val="24"/>
        </w:rPr>
        <w:t>zapewnion</w:t>
      </w:r>
      <w:r w:rsidR="00734530">
        <w:rPr>
          <w:rFonts w:ascii="Times New Roman" w:hAnsi="Times New Roman" w:cs="Times New Roman"/>
          <w:sz w:val="24"/>
          <w:szCs w:val="24"/>
        </w:rPr>
        <w:t>ych</w:t>
      </w:r>
      <w:r w:rsidR="00734530" w:rsidRPr="00575AC5">
        <w:rPr>
          <w:rFonts w:ascii="Times New Roman" w:hAnsi="Times New Roman" w:cs="Times New Roman"/>
          <w:sz w:val="24"/>
          <w:szCs w:val="24"/>
        </w:rPr>
        <w:t xml:space="preserve"> przez niezależny ośrodek z co najmniej pięcioletnim doświadczeniem w więcej niż jednym kraju europejskim</w:t>
      </w:r>
      <w:r w:rsidR="00734530">
        <w:rPr>
          <w:rFonts w:ascii="Times New Roman" w:hAnsi="Times New Roman" w:cs="Times New Roman"/>
          <w:sz w:val="24"/>
          <w:szCs w:val="24"/>
        </w:rPr>
        <w:t xml:space="preserve"> (np. </w:t>
      </w:r>
      <w:proofErr w:type="spellStart"/>
      <w:r w:rsidR="00734530">
        <w:rPr>
          <w:rFonts w:ascii="Times New Roman" w:hAnsi="Times New Roman" w:cs="Times New Roman"/>
          <w:sz w:val="24"/>
          <w:szCs w:val="24"/>
        </w:rPr>
        <w:t>NordiQC</w:t>
      </w:r>
      <w:proofErr w:type="spellEnd"/>
      <w:r w:rsidR="00734530">
        <w:rPr>
          <w:rFonts w:ascii="Times New Roman" w:hAnsi="Times New Roman" w:cs="Times New Roman"/>
          <w:sz w:val="24"/>
          <w:szCs w:val="24"/>
        </w:rPr>
        <w:t>)</w:t>
      </w:r>
      <w:r w:rsidR="001B4FB6">
        <w:rPr>
          <w:rFonts w:ascii="Times New Roman" w:hAnsi="Times New Roman" w:cs="Times New Roman"/>
          <w:sz w:val="24"/>
          <w:szCs w:val="24"/>
        </w:rPr>
        <w:t xml:space="preserve"> - kontrola jakości obejmująca panele – ogólny</w:t>
      </w:r>
      <w:r w:rsidR="009E5009">
        <w:rPr>
          <w:rFonts w:ascii="Times New Roman" w:hAnsi="Times New Roman" w:cs="Times New Roman"/>
          <w:sz w:val="24"/>
          <w:szCs w:val="24"/>
        </w:rPr>
        <w:t xml:space="preserve"> i</w:t>
      </w:r>
      <w:r w:rsidR="001B4FB6">
        <w:rPr>
          <w:rFonts w:ascii="Times New Roman" w:hAnsi="Times New Roman" w:cs="Times New Roman"/>
          <w:sz w:val="24"/>
          <w:szCs w:val="24"/>
        </w:rPr>
        <w:t xml:space="preserve"> piersiowy</w:t>
      </w:r>
      <w:r w:rsidR="009E5009">
        <w:rPr>
          <w:rFonts w:ascii="Times New Roman" w:hAnsi="Times New Roman" w:cs="Times New Roman"/>
          <w:sz w:val="24"/>
          <w:szCs w:val="24"/>
        </w:rPr>
        <w:t>.</w:t>
      </w:r>
    </w:p>
    <w:p w:rsidR="00734530" w:rsidRPr="009E5009" w:rsidRDefault="00734530" w:rsidP="003B2019">
      <w:pPr>
        <w:numPr>
          <w:ilvl w:val="0"/>
          <w:numId w:val="3"/>
        </w:numPr>
        <w:tabs>
          <w:tab w:val="left" w:pos="1800"/>
        </w:tabs>
        <w:suppressAutoHyphens/>
        <w:autoSpaceDE w:val="0"/>
        <w:autoSpaceDN w:val="0"/>
        <w:adjustRightInd w:val="0"/>
        <w:spacing w:before="0" w:line="276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9E5009">
        <w:rPr>
          <w:rFonts w:ascii="Times New Roman" w:hAnsi="Times New Roman" w:cs="Times New Roman"/>
          <w:sz w:val="24"/>
          <w:szCs w:val="24"/>
        </w:rPr>
        <w:t>100% pokryci</w:t>
      </w:r>
      <w:r w:rsidR="001B4FB6" w:rsidRPr="009E5009">
        <w:rPr>
          <w:rFonts w:ascii="Times New Roman" w:hAnsi="Times New Roman" w:cs="Times New Roman"/>
          <w:sz w:val="24"/>
          <w:szCs w:val="24"/>
        </w:rPr>
        <w:t>u</w:t>
      </w:r>
      <w:r w:rsidRPr="009E5009">
        <w:rPr>
          <w:rFonts w:ascii="Times New Roman" w:hAnsi="Times New Roman" w:cs="Times New Roman"/>
          <w:sz w:val="24"/>
          <w:szCs w:val="24"/>
        </w:rPr>
        <w:t xml:space="preserve"> wszystkich faktycznych kosztów związanych z </w:t>
      </w:r>
      <w:r w:rsidR="009E5009">
        <w:rPr>
          <w:rFonts w:ascii="Times New Roman" w:hAnsi="Times New Roman" w:cs="Times New Roman"/>
          <w:sz w:val="24"/>
          <w:szCs w:val="24"/>
        </w:rPr>
        <w:t>kontrolą.</w:t>
      </w:r>
    </w:p>
    <w:p w:rsidR="00B01BC3" w:rsidRPr="00575AC5" w:rsidRDefault="00B01BC3" w:rsidP="003B2019">
      <w:pPr>
        <w:numPr>
          <w:ilvl w:val="0"/>
          <w:numId w:val="3"/>
        </w:numPr>
        <w:tabs>
          <w:tab w:val="left" w:pos="1800"/>
        </w:tabs>
        <w:suppressAutoHyphens/>
        <w:autoSpaceDE w:val="0"/>
        <w:autoSpaceDN w:val="0"/>
        <w:adjustRightInd w:val="0"/>
        <w:spacing w:before="0" w:line="276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9E5009">
        <w:rPr>
          <w:rFonts w:ascii="Times New Roman" w:hAnsi="Times New Roman" w:cs="Times New Roman"/>
          <w:sz w:val="24"/>
          <w:szCs w:val="24"/>
        </w:rPr>
        <w:t>poradnictwie w zakresie wyboru przeciwciał i ustawiania protokołów diagnostycznych</w:t>
      </w:r>
    </w:p>
    <w:p w:rsidR="009960B1" w:rsidRPr="00575AC5" w:rsidRDefault="009960B1" w:rsidP="009F62E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Dostarczony sprzęt obsługi informatycznej SYSTEMU IHC zaopatrzony we właściwe oprogramowanie, z gotowymi protokołami barwień pojedynczych i podwójnych, z możliwością tworzenia własnych protokołów barwień.</w:t>
      </w:r>
    </w:p>
    <w:p w:rsidR="00D052DB" w:rsidRDefault="009960B1" w:rsidP="009F62E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052DB">
        <w:rPr>
          <w:rFonts w:ascii="Times New Roman" w:hAnsi="Times New Roman" w:cs="Times New Roman"/>
          <w:sz w:val="24"/>
          <w:szCs w:val="24"/>
        </w:rPr>
        <w:t>Możliwość archiwizacji przez system wykonanych badań</w:t>
      </w:r>
      <w:r w:rsidR="00D052DB">
        <w:rPr>
          <w:rFonts w:ascii="Times New Roman" w:hAnsi="Times New Roman" w:cs="Times New Roman"/>
          <w:sz w:val="24"/>
          <w:szCs w:val="24"/>
        </w:rPr>
        <w:t>.</w:t>
      </w:r>
      <w:r w:rsidRPr="00D05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BC3" w:rsidRDefault="009960B1" w:rsidP="009F62E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052DB">
        <w:rPr>
          <w:rFonts w:ascii="Times New Roman" w:hAnsi="Times New Roman" w:cs="Times New Roman"/>
          <w:sz w:val="24"/>
          <w:szCs w:val="24"/>
        </w:rPr>
        <w:t>Możliwość tworzenia raportów dziennych, miesięcznych i rocznych pracy urządzenia</w:t>
      </w:r>
      <w:r w:rsidR="00303D7B" w:rsidRPr="00D052DB">
        <w:rPr>
          <w:rFonts w:ascii="Times New Roman" w:hAnsi="Times New Roman" w:cs="Times New Roman"/>
          <w:sz w:val="24"/>
          <w:szCs w:val="24"/>
        </w:rPr>
        <w:t>.</w:t>
      </w:r>
    </w:p>
    <w:p w:rsidR="00AE7507" w:rsidRPr="007C289D" w:rsidRDefault="00AE7507" w:rsidP="009F62E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7C289D">
        <w:rPr>
          <w:rFonts w:ascii="Times New Roman" w:hAnsi="Times New Roman" w:cs="Times New Roman"/>
          <w:sz w:val="24"/>
          <w:szCs w:val="24"/>
        </w:rPr>
        <w:t xml:space="preserve">System będzie wyposażony w drukarkę atramentową lub laserową </w:t>
      </w:r>
      <w:r w:rsidR="00C233E9" w:rsidRPr="007C289D">
        <w:rPr>
          <w:rFonts w:ascii="Times New Roman" w:hAnsi="Times New Roman" w:cs="Times New Roman"/>
          <w:sz w:val="24"/>
          <w:szCs w:val="24"/>
        </w:rPr>
        <w:t>wraz z tonerem.</w:t>
      </w:r>
      <w:bookmarkStart w:id="0" w:name="_GoBack"/>
      <w:bookmarkEnd w:id="0"/>
    </w:p>
    <w:p w:rsidR="002E58B2" w:rsidRPr="00D052DB" w:rsidRDefault="002E58B2" w:rsidP="009F62E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 pełnej integracji urządzenia z posiadany</w:t>
      </w:r>
      <w:r w:rsidR="00C3408A">
        <w:rPr>
          <w:rFonts w:ascii="Times New Roman" w:hAnsi="Times New Roman" w:cs="Times New Roman"/>
          <w:sz w:val="24"/>
          <w:szCs w:val="24"/>
        </w:rPr>
        <w:t>m przez zamawiającego systemem L</w:t>
      </w:r>
      <w:r>
        <w:rPr>
          <w:rFonts w:ascii="Times New Roman" w:hAnsi="Times New Roman" w:cs="Times New Roman"/>
          <w:sz w:val="24"/>
          <w:szCs w:val="24"/>
        </w:rPr>
        <w:t>IS</w:t>
      </w:r>
    </w:p>
    <w:p w:rsidR="008664AA" w:rsidRDefault="008664AA" w:rsidP="00D06677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5432" w:rsidRDefault="00EF5432" w:rsidP="008C3D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Materiały eksploatacyjne do drukarek:</w:t>
      </w:r>
    </w:p>
    <w:p w:rsidR="00D6157F" w:rsidRPr="008C3DD0" w:rsidRDefault="00D6157F" w:rsidP="00D6157F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EF5432" w:rsidRDefault="00EF5432" w:rsidP="00EF543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Naklejki na szkiełka podstawowe do drukarki kodów w takiej liczbie opakowań aby można było okleić </w:t>
      </w:r>
      <w:r w:rsidR="009E5009">
        <w:rPr>
          <w:rFonts w:ascii="Times New Roman" w:hAnsi="Times New Roman" w:cs="Times New Roman"/>
          <w:sz w:val="24"/>
          <w:szCs w:val="24"/>
        </w:rPr>
        <w:t>31200</w:t>
      </w:r>
      <w:r>
        <w:rPr>
          <w:rFonts w:ascii="Times New Roman" w:hAnsi="Times New Roman" w:cs="Times New Roman"/>
          <w:sz w:val="24"/>
          <w:szCs w:val="24"/>
        </w:rPr>
        <w:t xml:space="preserve"> preparatów IHC.</w:t>
      </w:r>
    </w:p>
    <w:p w:rsidR="00EF5432" w:rsidRDefault="00EF5432" w:rsidP="00EF543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Taśma do drukarki kodów w takiej liczbie opakowań aby można było wydrukować </w:t>
      </w:r>
      <w:r w:rsidR="009E5009">
        <w:rPr>
          <w:rFonts w:ascii="Times New Roman" w:hAnsi="Times New Roman" w:cs="Times New Roman"/>
          <w:sz w:val="24"/>
          <w:szCs w:val="24"/>
        </w:rPr>
        <w:t>31200</w:t>
      </w:r>
      <w:r>
        <w:rPr>
          <w:rFonts w:ascii="Times New Roman" w:hAnsi="Times New Roman" w:cs="Times New Roman"/>
          <w:sz w:val="24"/>
          <w:szCs w:val="24"/>
        </w:rPr>
        <w:t xml:space="preserve"> naklejek na szkiełka IHC.</w:t>
      </w:r>
    </w:p>
    <w:p w:rsidR="009E5009" w:rsidRPr="003524D3" w:rsidRDefault="009E5009" w:rsidP="00EF543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Toner/tonery wystarczający/e do wydrukowania 500 stron raportów.</w:t>
      </w:r>
    </w:p>
    <w:p w:rsidR="00ED7102" w:rsidRDefault="00ED7102" w:rsidP="00D06677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7102" w:rsidRPr="008C3DD0" w:rsidRDefault="00ED7102" w:rsidP="008C3D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Mikroskop</w:t>
      </w:r>
      <w:r w:rsidR="00B65397" w:rsidRPr="008C3DD0">
        <w:rPr>
          <w:rFonts w:ascii="Times New Roman" w:hAnsi="Times New Roman" w:cs="Times New Roman"/>
          <w:sz w:val="24"/>
          <w:szCs w:val="24"/>
        </w:rPr>
        <w:t>y</w:t>
      </w:r>
      <w:r w:rsidRPr="008C3DD0">
        <w:rPr>
          <w:rFonts w:ascii="Times New Roman" w:hAnsi="Times New Roman" w:cs="Times New Roman"/>
          <w:sz w:val="24"/>
          <w:szCs w:val="24"/>
        </w:rPr>
        <w:t>:</w:t>
      </w:r>
    </w:p>
    <w:p w:rsidR="00ED7102" w:rsidRDefault="00ED7102" w:rsidP="00ED7102">
      <w:pPr>
        <w:autoSpaceDE w:val="0"/>
        <w:autoSpaceDN w:val="0"/>
        <w:adjustRightInd w:val="0"/>
        <w:spacing w:before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ED7102" w:rsidRDefault="00B65397" w:rsidP="00ED71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 m</w:t>
      </w:r>
      <w:r w:rsidR="001A6979">
        <w:rPr>
          <w:rFonts w:ascii="Times New Roman" w:hAnsi="Times New Roman" w:cs="Times New Roman"/>
          <w:sz w:val="24"/>
          <w:szCs w:val="24"/>
        </w:rPr>
        <w:t>ikroskop</w:t>
      </w:r>
      <w:r>
        <w:rPr>
          <w:rFonts w:ascii="Times New Roman" w:hAnsi="Times New Roman" w:cs="Times New Roman"/>
          <w:sz w:val="24"/>
          <w:szCs w:val="24"/>
        </w:rPr>
        <w:t>y</w:t>
      </w:r>
      <w:r w:rsidR="001A6979">
        <w:rPr>
          <w:rFonts w:ascii="Times New Roman" w:hAnsi="Times New Roman" w:cs="Times New Roman"/>
          <w:sz w:val="24"/>
          <w:szCs w:val="24"/>
        </w:rPr>
        <w:t xml:space="preserve"> laboratoryjn</w:t>
      </w:r>
      <w:r>
        <w:rPr>
          <w:rFonts w:ascii="Times New Roman" w:hAnsi="Times New Roman" w:cs="Times New Roman"/>
          <w:sz w:val="24"/>
          <w:szCs w:val="24"/>
        </w:rPr>
        <w:t>e</w:t>
      </w:r>
      <w:r w:rsidR="001A6979">
        <w:rPr>
          <w:rFonts w:ascii="Times New Roman" w:hAnsi="Times New Roman" w:cs="Times New Roman"/>
          <w:sz w:val="24"/>
          <w:szCs w:val="24"/>
        </w:rPr>
        <w:t xml:space="preserve"> z transformatorem sieciowym umieszczonym poza </w:t>
      </w:r>
      <w:r w:rsidR="00E81022">
        <w:rPr>
          <w:rFonts w:ascii="Times New Roman" w:hAnsi="Times New Roman" w:cs="Times New Roman"/>
          <w:sz w:val="24"/>
          <w:szCs w:val="24"/>
        </w:rPr>
        <w:t xml:space="preserve">lub w </w:t>
      </w:r>
      <w:r w:rsidR="001A6979">
        <w:rPr>
          <w:rFonts w:ascii="Times New Roman" w:hAnsi="Times New Roman" w:cs="Times New Roman"/>
          <w:sz w:val="24"/>
          <w:szCs w:val="24"/>
        </w:rPr>
        <w:t>statyw</w:t>
      </w:r>
      <w:r w:rsidR="00E81022">
        <w:rPr>
          <w:rFonts w:ascii="Times New Roman" w:hAnsi="Times New Roman" w:cs="Times New Roman"/>
          <w:sz w:val="24"/>
          <w:szCs w:val="24"/>
        </w:rPr>
        <w:t>i</w:t>
      </w:r>
      <w:r w:rsidR="001A6979">
        <w:rPr>
          <w:rFonts w:ascii="Times New Roman" w:hAnsi="Times New Roman" w:cs="Times New Roman"/>
          <w:sz w:val="24"/>
          <w:szCs w:val="24"/>
        </w:rPr>
        <w:t>e.</w:t>
      </w:r>
    </w:p>
    <w:p w:rsidR="001A6979" w:rsidRDefault="001A6979" w:rsidP="001A69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Statyw optyczny korygowany do nieskończoności.</w:t>
      </w:r>
    </w:p>
    <w:p w:rsidR="001A6979" w:rsidRDefault="001A6979" w:rsidP="001A69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Powiększenie całkowite od 40x do 400x</w:t>
      </w:r>
    </w:p>
    <w:p w:rsidR="001A6979" w:rsidRDefault="001A6979" w:rsidP="001A69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Tubus okularowy z możliwością regulowania osłonami i korekcją </w:t>
      </w:r>
      <w:proofErr w:type="spellStart"/>
      <w:r>
        <w:rPr>
          <w:rFonts w:ascii="Times New Roman" w:hAnsi="Times New Roman" w:cs="Times New Roman"/>
          <w:sz w:val="24"/>
          <w:szCs w:val="24"/>
        </w:rPr>
        <w:t>dioptryjną</w:t>
      </w:r>
      <w:proofErr w:type="spellEnd"/>
    </w:p>
    <w:p w:rsidR="001A6979" w:rsidRDefault="001A6979" w:rsidP="001A69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Rewolwer na cztery obiektywy 4x (lub 5x), 10x, 20x, 40x</w:t>
      </w:r>
    </w:p>
    <w:p w:rsidR="001A6979" w:rsidRDefault="001A6979" w:rsidP="001A69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Oświetlenie modułowe z systemem łatwej wymiany żarówek, halogenowe.</w:t>
      </w:r>
    </w:p>
    <w:p w:rsidR="001A6979" w:rsidRDefault="00E81022" w:rsidP="001A69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A6979">
        <w:rPr>
          <w:rFonts w:ascii="Times New Roman" w:hAnsi="Times New Roman" w:cs="Times New Roman"/>
          <w:sz w:val="24"/>
          <w:szCs w:val="24"/>
        </w:rPr>
        <w:t>skaźnik ustawienia natężenia oświetlenia</w:t>
      </w:r>
    </w:p>
    <w:p w:rsidR="001A6979" w:rsidRDefault="001A6979" w:rsidP="001A69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Precyzyjny mechanizm przesuwu preparatu z zakresem pracy 75 mm x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proofErr w:type="spellEnd"/>
      <w:r>
        <w:rPr>
          <w:rFonts w:ascii="Times New Roman" w:hAnsi="Times New Roman" w:cs="Times New Roman"/>
          <w:sz w:val="24"/>
          <w:szCs w:val="24"/>
        </w:rPr>
        <w:t>. (szerokość x długość).</w:t>
      </w:r>
    </w:p>
    <w:p w:rsidR="005704C3" w:rsidRDefault="005704C3" w:rsidP="005704C3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4F3959" w:rsidRDefault="004F3959" w:rsidP="004F3959">
      <w:r>
        <w:t>Przeciwciała wymagane do badań</w:t>
      </w:r>
    </w:p>
    <w:p w:rsidR="004F3959" w:rsidRDefault="004F3959" w:rsidP="004F3959">
      <w:pPr>
        <w:pStyle w:val="Akapitzlist"/>
        <w:numPr>
          <w:ilvl w:val="0"/>
          <w:numId w:val="15"/>
        </w:numPr>
      </w:pPr>
      <w:r>
        <w:t>Zestaw podstawowy</w:t>
      </w:r>
    </w:p>
    <w:p w:rsidR="004F3959" w:rsidRDefault="004F3959" w:rsidP="004F3959">
      <w:pPr>
        <w:pStyle w:val="Akapitzlist"/>
        <w:numPr>
          <w:ilvl w:val="0"/>
          <w:numId w:val="16"/>
        </w:numPr>
      </w:pPr>
      <w:r>
        <w:t>Zamawiający  w momencie składania zamówienia będzie miał możliwość dokonania wyboru spośród wszystkich oferowanych przez Wykonawcę przeciwciał (minimum 200 pozycji) z tym, że na pewno dostępne będą przeciwciała podane poniżej:</w:t>
      </w:r>
    </w:p>
    <w:tbl>
      <w:tblPr>
        <w:tblStyle w:val="Tabela-Siatka"/>
        <w:tblW w:w="0" w:type="auto"/>
        <w:tblInd w:w="1429" w:type="dxa"/>
        <w:tblLook w:val="04A0"/>
      </w:tblPr>
      <w:tblGrid>
        <w:gridCol w:w="926"/>
        <w:gridCol w:w="6707"/>
      </w:tblGrid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AFP (</w:t>
            </w:r>
            <w:proofErr w:type="spellStart"/>
            <w:r>
              <w:rPr>
                <w:rStyle w:val="Uwydatnienie"/>
                <w:rFonts w:ascii="Times New Roman" w:hAnsi="Times New Roman" w:cs="Times New Roman"/>
                <w:b w:val="0"/>
              </w:rPr>
              <w:t>Alpha</w:t>
            </w:r>
            <w:r>
              <w:rPr>
                <w:rStyle w:val="ft"/>
                <w:rFonts w:ascii="Times New Roman" w:hAnsi="Times New Roman" w:cs="Times New Roman"/>
                <w:b/>
              </w:rPr>
              <w:t>-</w:t>
            </w:r>
            <w:r>
              <w:rPr>
                <w:rStyle w:val="Uwydatnienie"/>
                <w:rFonts w:ascii="Times New Roman" w:hAnsi="Times New Roman" w:cs="Times New Roman"/>
                <w:b w:val="0"/>
              </w:rPr>
              <w:t>fetoprotein</w:t>
            </w:r>
            <w:proofErr w:type="spellEnd"/>
            <w:r>
              <w:rPr>
                <w:rStyle w:val="Uwydatnienie"/>
                <w:rFonts w:ascii="Times New Roman" w:hAnsi="Times New Roman" w:cs="Times New Roman"/>
                <w:b w:val="0"/>
                <w:color w:val="444444"/>
              </w:rPr>
              <w:t>)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Alfa-Inhibin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AMACR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Bcl-2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Bcl-6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Beta-Catenin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Ca-125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CA19-9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9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Calcitonin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10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Calretinin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CD10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CD117 (c-kit)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CD15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CD1a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CD20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CD23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17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CD246, ALK 1  Protein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18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CD3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19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CD30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20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CD31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CD34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CD4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CD43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CD45 LCA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CD5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CD56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27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CD68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28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CD7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29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CD79a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lastRenderedPageBreak/>
              <w:t>30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CD8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CD99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CDX2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CEA (</w:t>
            </w:r>
            <w:proofErr w:type="spellStart"/>
            <w:r>
              <w:t>Carcinoembryonic</w:t>
            </w:r>
            <w:proofErr w:type="spellEnd"/>
            <w:r>
              <w:t xml:space="preserve"> antygen)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Chromogranin</w:t>
            </w:r>
            <w:proofErr w:type="spellEnd"/>
            <w:r>
              <w:t xml:space="preserve"> A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c-myc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Cyclin</w:t>
            </w:r>
            <w:proofErr w:type="spellEnd"/>
            <w:r>
              <w:t xml:space="preserve"> D1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37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Cytokeratin</w:t>
            </w:r>
            <w:proofErr w:type="spellEnd"/>
            <w:r>
              <w:t xml:space="preserve"> 20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38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Cytokeratin</w:t>
            </w:r>
            <w:proofErr w:type="spellEnd"/>
            <w:r>
              <w:t xml:space="preserve"> 5/6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39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Cytokeratin</w:t>
            </w:r>
            <w:proofErr w:type="spellEnd"/>
            <w:r>
              <w:t xml:space="preserve"> 7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40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Cytokeratin</w:t>
            </w:r>
            <w:proofErr w:type="spellEnd"/>
            <w:r>
              <w:t xml:space="preserve"> AE1/AE3 lub </w:t>
            </w:r>
            <w:proofErr w:type="spellStart"/>
            <w:r>
              <w:t>PanCK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Cytokeratin</w:t>
            </w:r>
            <w:proofErr w:type="spellEnd"/>
            <w:r>
              <w:t xml:space="preserve"> HMW,  clone 34 βE12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Desmin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Desmoglein</w:t>
            </w:r>
            <w:proofErr w:type="spellEnd"/>
            <w:r>
              <w:t xml:space="preserve"> 3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DOG-1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E-Cadherin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EMA (epithelial membrane </w:t>
            </w:r>
            <w:proofErr w:type="spellStart"/>
            <w:r>
              <w:rPr>
                <w:lang w:val="en-US"/>
              </w:rPr>
              <w:t>antygen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47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Epstein-Barr </w:t>
            </w:r>
            <w:proofErr w:type="spellStart"/>
            <w:r>
              <w:t>Virus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48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ERG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49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Estrogen Receptor α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50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Fascin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GCDFP-15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Helicobacter</w:t>
            </w:r>
            <w:proofErr w:type="spellEnd"/>
            <w:r>
              <w:t xml:space="preserve"> </w:t>
            </w:r>
            <w:proofErr w:type="spellStart"/>
            <w:r>
              <w:t>pylori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Kappa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Chains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Ki67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Lambda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Chains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Mammoglobulin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57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Melan-A</w:t>
            </w:r>
            <w:proofErr w:type="spellEnd"/>
            <w:r>
              <w:t xml:space="preserve">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58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Melanosome</w:t>
            </w:r>
            <w:proofErr w:type="spellEnd"/>
            <w:r>
              <w:t xml:space="preserve"> HMB45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59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Mesothelin</w:t>
            </w:r>
            <w:proofErr w:type="spellEnd"/>
            <w:r>
              <w:t xml:space="preserve"> (</w:t>
            </w:r>
            <w:proofErr w:type="spellStart"/>
            <w:r>
              <w:t>Mesothelial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>)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60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MUM-1 Protein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Myo</w:t>
            </w:r>
            <w:proofErr w:type="spellEnd"/>
            <w:r>
              <w:t xml:space="preserve"> D1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Myogenin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Napsin</w:t>
            </w:r>
            <w:proofErr w:type="spellEnd"/>
            <w:r>
              <w:t xml:space="preserve"> A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p40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p53 clone DO-7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p63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67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PAX8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68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Podoplanina</w:t>
            </w:r>
            <w:proofErr w:type="spellEnd"/>
            <w:r>
              <w:t xml:space="preserve"> , clone D2-40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69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Progesterone</w:t>
            </w:r>
            <w:proofErr w:type="spellEnd"/>
            <w:r>
              <w:t xml:space="preserve"> Receptor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70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PSA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 xml:space="preserve">RCC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S-100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SMA (smooth muscle action)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Sox-10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STAT6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Synaptophysin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77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Thyreoglobulin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78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Trombomodulin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79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TTF-1 clone SPT24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lastRenderedPageBreak/>
              <w:t>80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Uroplakina</w:t>
            </w:r>
            <w:proofErr w:type="spellEnd"/>
            <w:r>
              <w:t xml:space="preserve"> III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proofErr w:type="spellStart"/>
            <w:r>
              <w:t>Vimentin</w:t>
            </w:r>
            <w:proofErr w:type="spellEnd"/>
            <w:r>
              <w:t xml:space="preserve">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WT1 (</w:t>
            </w:r>
            <w:proofErr w:type="spellStart"/>
            <w:r>
              <w:rPr>
                <w:lang w:val="en-US"/>
              </w:rPr>
              <w:t>Wilm’s</w:t>
            </w:r>
            <w:proofErr w:type="spellEnd"/>
            <w:r>
              <w:rPr>
                <w:lang w:val="en-US"/>
              </w:rPr>
              <w:t xml:space="preserve"> Tumor 1 Protein) 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CD138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TdT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PAX5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Hepatocyte</w:t>
            </w:r>
            <w:proofErr w:type="spellEnd"/>
            <w:r>
              <w:rPr>
                <w:lang w:val="en-US"/>
              </w:rPr>
              <w:t>/HSA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87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CD21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88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GATA3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89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Factor VIII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90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p16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91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Beta-</w:t>
            </w:r>
            <w:proofErr w:type="spellStart"/>
            <w:r>
              <w:rPr>
                <w:lang w:val="en-US"/>
              </w:rPr>
              <w:t>hCG</w:t>
            </w:r>
            <w:proofErr w:type="spellEnd"/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92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NSE</w:t>
            </w:r>
          </w:p>
        </w:tc>
      </w:tr>
      <w:tr w:rsidR="004F3959" w:rsidTr="004F395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</w:pPr>
            <w:r>
              <w:t>93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59" w:rsidRDefault="004F3959">
            <w:pPr>
              <w:pStyle w:val="Akapitzli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BAP1</w:t>
            </w:r>
          </w:p>
        </w:tc>
      </w:tr>
    </w:tbl>
    <w:p w:rsidR="004F3959" w:rsidRDefault="004F3959" w:rsidP="004F3959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4F3959" w:rsidRDefault="004F3959" w:rsidP="004F39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Dostarczone odczynniki i materiały (przeciwciała, system wizualizacyjny, bufory) powinny być tak skalkulowane aby można było wykonać 31200 oznaczeń IHC w czasie trwania umowy (tj. 2 lat) bez względu na umiejscowienie i wielkość skrawka badanego materiału. </w:t>
      </w:r>
    </w:p>
    <w:p w:rsidR="004F3959" w:rsidRDefault="004F3959" w:rsidP="004F39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Kalkulacja ilości zużycia przeciwciał powinno uwzględniać tzw. martwą strefę (obszar opakowania zawierających odczynnik/przeciwciało niewykorzystane przez aparat) w dostarczonych opakowaniach.</w:t>
      </w:r>
    </w:p>
    <w:p w:rsidR="004F3959" w:rsidRDefault="004F3959" w:rsidP="004F39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do wizualizacji będzie zawierał (lub będzie rozszerzony o) szkiełka dostosowane do barwień IHC  (szkiełka zapobiegające spływaniu preparatów podczas obróbki cieplnej) w ilości wystarczającej do wykonania 31200 oznaczeń.</w:t>
      </w:r>
    </w:p>
    <w:p w:rsidR="004F3959" w:rsidRDefault="004F3959" w:rsidP="004F39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zamawianych odczynników – co najmniej pół roku od daty dostawy.</w:t>
      </w:r>
    </w:p>
    <w:p w:rsidR="004F3959" w:rsidRDefault="004F3959" w:rsidP="004F39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 oraz zaopatrzony w ulotkę w języku polskim.</w:t>
      </w:r>
    </w:p>
    <w:p w:rsidR="004F3959" w:rsidRDefault="004F3959" w:rsidP="004F39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kart charakterystyk substancji niebezpiecznych.</w:t>
      </w:r>
    </w:p>
    <w:p w:rsidR="004F3959" w:rsidRDefault="004F3959" w:rsidP="004F39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Przeciwciała pierwotne w gotowych do użycia rozcieńczeniach (RTU) w pojemnikach umożliwiających bezpośrednie ich użycie bez potrzeby przelewania (wyjątek przeciwciała innych firm – w przypadku braku we własnej ofercie, dopuszcza się możliwość przelewania, oraz przeciwciała stężone (maksymalnie 2 sztuki) – dopuszcza się pod warunkiem dostarczenia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wykonania rozcieńczeń i odpowiednich akcesoriów celem dostosowania przeciwciał do stosowania w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autostainerach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4F3959" w:rsidRDefault="004F3959" w:rsidP="004F395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zaoferuje przeciwciała, których klony są pozytywnie zaopiniowane przez przynajmniej jeden z niezależnych ośrodków  kontroli.</w:t>
      </w:r>
    </w:p>
    <w:p w:rsidR="004F3959" w:rsidRDefault="004F3959" w:rsidP="004F395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braku przeciwciała pozytywnie zaopiniowanego przez niezależny ośrodek kontroli jakości dopuszcza się zaoferowanie w zastępstwie przeciwciała innej firmy (pod warunkiem możliwości dostosowania tegoż do procesu automatycznego barwienia na zaoferowanym urządzeniu).</w:t>
      </w:r>
    </w:p>
    <w:p w:rsidR="004F3959" w:rsidRDefault="004F3959" w:rsidP="004F3959">
      <w:pPr>
        <w:pStyle w:val="Akapitzlist"/>
        <w:ind w:left="1069" w:firstLine="0"/>
      </w:pPr>
    </w:p>
    <w:p w:rsidR="005704C3" w:rsidRDefault="005704C3" w:rsidP="005704C3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704C3" w:rsidSect="00CC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820F4"/>
    <w:lvl w:ilvl="0">
      <w:numFmt w:val="bullet"/>
      <w:lvlText w:val="*"/>
      <w:lvlJc w:val="left"/>
    </w:lvl>
  </w:abstractNum>
  <w:abstractNum w:abstractNumId="1">
    <w:nsid w:val="022212D5"/>
    <w:multiLevelType w:val="hybridMultilevel"/>
    <w:tmpl w:val="46FCC8EC"/>
    <w:lvl w:ilvl="0" w:tplc="95404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7A14"/>
    <w:multiLevelType w:val="hybridMultilevel"/>
    <w:tmpl w:val="2D9628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CB4002"/>
    <w:multiLevelType w:val="hybridMultilevel"/>
    <w:tmpl w:val="9B9ADB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0B4266"/>
    <w:multiLevelType w:val="hybridMultilevel"/>
    <w:tmpl w:val="04CE9A4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AA33D83"/>
    <w:multiLevelType w:val="hybridMultilevel"/>
    <w:tmpl w:val="7CF2EBFA"/>
    <w:lvl w:ilvl="0" w:tplc="483696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F6B6F1C"/>
    <w:multiLevelType w:val="hybridMultilevel"/>
    <w:tmpl w:val="A84872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A247CC"/>
    <w:multiLevelType w:val="hybridMultilevel"/>
    <w:tmpl w:val="470AAA78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9C61B6"/>
    <w:multiLevelType w:val="hybridMultilevel"/>
    <w:tmpl w:val="A70623D4"/>
    <w:lvl w:ilvl="0" w:tplc="4836969C">
      <w:start w:val="1"/>
      <w:numFmt w:val="decimal"/>
      <w:lvlText w:val="%1."/>
      <w:lvlJc w:val="left"/>
      <w:pPr>
        <w:ind w:left="2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531513EF"/>
    <w:multiLevelType w:val="hybridMultilevel"/>
    <w:tmpl w:val="DFF4469A"/>
    <w:lvl w:ilvl="0" w:tplc="808C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F5F86"/>
    <w:multiLevelType w:val="hybridMultilevel"/>
    <w:tmpl w:val="96BA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EDE60">
      <w:start w:val="2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2495F"/>
    <w:multiLevelType w:val="hybridMultilevel"/>
    <w:tmpl w:val="5658EB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9A3C8E"/>
    <w:multiLevelType w:val="hybridMultilevel"/>
    <w:tmpl w:val="C354080C"/>
    <w:lvl w:ilvl="0" w:tplc="4836969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E9E5315"/>
    <w:multiLevelType w:val="hybridMultilevel"/>
    <w:tmpl w:val="10481236"/>
    <w:lvl w:ilvl="0" w:tplc="54BAC476">
      <w:start w:val="1"/>
      <w:numFmt w:val="upperLetter"/>
      <w:lvlText w:val="%1)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7D1"/>
    <w:rsid w:val="000443F1"/>
    <w:rsid w:val="00051FE7"/>
    <w:rsid w:val="000564FA"/>
    <w:rsid w:val="0006630C"/>
    <w:rsid w:val="0007591E"/>
    <w:rsid w:val="000A0927"/>
    <w:rsid w:val="00120224"/>
    <w:rsid w:val="001639E0"/>
    <w:rsid w:val="00196794"/>
    <w:rsid w:val="001A09D6"/>
    <w:rsid w:val="001A6979"/>
    <w:rsid w:val="001B4FB6"/>
    <w:rsid w:val="001B67D1"/>
    <w:rsid w:val="001B7FB3"/>
    <w:rsid w:val="002025F6"/>
    <w:rsid w:val="002320B6"/>
    <w:rsid w:val="00233BEC"/>
    <w:rsid w:val="002460E8"/>
    <w:rsid w:val="00286D86"/>
    <w:rsid w:val="002954BC"/>
    <w:rsid w:val="002B67FF"/>
    <w:rsid w:val="002D0E9B"/>
    <w:rsid w:val="002E58B2"/>
    <w:rsid w:val="002F2A98"/>
    <w:rsid w:val="002F7F04"/>
    <w:rsid w:val="00303D7B"/>
    <w:rsid w:val="00323391"/>
    <w:rsid w:val="00364809"/>
    <w:rsid w:val="00396475"/>
    <w:rsid w:val="00397708"/>
    <w:rsid w:val="003B2019"/>
    <w:rsid w:val="00401D13"/>
    <w:rsid w:val="00430034"/>
    <w:rsid w:val="00432B68"/>
    <w:rsid w:val="0044017D"/>
    <w:rsid w:val="00443C59"/>
    <w:rsid w:val="004523C2"/>
    <w:rsid w:val="00485705"/>
    <w:rsid w:val="00497501"/>
    <w:rsid w:val="004A2834"/>
    <w:rsid w:val="004B0FCB"/>
    <w:rsid w:val="004C6930"/>
    <w:rsid w:val="004D45B8"/>
    <w:rsid w:val="004F3959"/>
    <w:rsid w:val="005202F7"/>
    <w:rsid w:val="005612A7"/>
    <w:rsid w:val="005704C3"/>
    <w:rsid w:val="00575AC5"/>
    <w:rsid w:val="005A713B"/>
    <w:rsid w:val="005E1C9B"/>
    <w:rsid w:val="00610B1E"/>
    <w:rsid w:val="00621804"/>
    <w:rsid w:val="00632084"/>
    <w:rsid w:val="00647D7D"/>
    <w:rsid w:val="00657A01"/>
    <w:rsid w:val="006603BC"/>
    <w:rsid w:val="006B0551"/>
    <w:rsid w:val="006B2278"/>
    <w:rsid w:val="006E2DD8"/>
    <w:rsid w:val="00723574"/>
    <w:rsid w:val="00734530"/>
    <w:rsid w:val="00745EAA"/>
    <w:rsid w:val="0074653F"/>
    <w:rsid w:val="00750558"/>
    <w:rsid w:val="00752DB7"/>
    <w:rsid w:val="00784FDA"/>
    <w:rsid w:val="00792641"/>
    <w:rsid w:val="007B2BFE"/>
    <w:rsid w:val="007C289D"/>
    <w:rsid w:val="007C6473"/>
    <w:rsid w:val="007D47E8"/>
    <w:rsid w:val="007D59E3"/>
    <w:rsid w:val="007F2EAF"/>
    <w:rsid w:val="00816245"/>
    <w:rsid w:val="00817DEA"/>
    <w:rsid w:val="00820820"/>
    <w:rsid w:val="008350AD"/>
    <w:rsid w:val="008664AA"/>
    <w:rsid w:val="00895E7C"/>
    <w:rsid w:val="008B63FD"/>
    <w:rsid w:val="008C3DD0"/>
    <w:rsid w:val="008D4090"/>
    <w:rsid w:val="008E1E51"/>
    <w:rsid w:val="008F4AC6"/>
    <w:rsid w:val="0090415C"/>
    <w:rsid w:val="009050B8"/>
    <w:rsid w:val="00905313"/>
    <w:rsid w:val="009451AD"/>
    <w:rsid w:val="00947770"/>
    <w:rsid w:val="0096076F"/>
    <w:rsid w:val="0096784F"/>
    <w:rsid w:val="00974BD3"/>
    <w:rsid w:val="009926DE"/>
    <w:rsid w:val="009960B1"/>
    <w:rsid w:val="009A56E7"/>
    <w:rsid w:val="009A68DB"/>
    <w:rsid w:val="009B6B75"/>
    <w:rsid w:val="009D09D6"/>
    <w:rsid w:val="009D4AC8"/>
    <w:rsid w:val="009E5009"/>
    <w:rsid w:val="009F62E0"/>
    <w:rsid w:val="00A1175C"/>
    <w:rsid w:val="00A5354C"/>
    <w:rsid w:val="00A54EEF"/>
    <w:rsid w:val="00A744E3"/>
    <w:rsid w:val="00A7647D"/>
    <w:rsid w:val="00AA05CD"/>
    <w:rsid w:val="00AA1D40"/>
    <w:rsid w:val="00AE7507"/>
    <w:rsid w:val="00B01BC3"/>
    <w:rsid w:val="00B26EEF"/>
    <w:rsid w:val="00B532FC"/>
    <w:rsid w:val="00B65317"/>
    <w:rsid w:val="00B65397"/>
    <w:rsid w:val="00B823C6"/>
    <w:rsid w:val="00B9799F"/>
    <w:rsid w:val="00BE68B9"/>
    <w:rsid w:val="00C0795A"/>
    <w:rsid w:val="00C233E9"/>
    <w:rsid w:val="00C323BC"/>
    <w:rsid w:val="00C3408A"/>
    <w:rsid w:val="00C37306"/>
    <w:rsid w:val="00C415D2"/>
    <w:rsid w:val="00C4606D"/>
    <w:rsid w:val="00C61BC4"/>
    <w:rsid w:val="00C744CF"/>
    <w:rsid w:val="00C80754"/>
    <w:rsid w:val="00C8637C"/>
    <w:rsid w:val="00CB6363"/>
    <w:rsid w:val="00CC66B0"/>
    <w:rsid w:val="00CE06E4"/>
    <w:rsid w:val="00CF0A71"/>
    <w:rsid w:val="00CF43AA"/>
    <w:rsid w:val="00D01C5C"/>
    <w:rsid w:val="00D052DB"/>
    <w:rsid w:val="00D06677"/>
    <w:rsid w:val="00D264EB"/>
    <w:rsid w:val="00D27918"/>
    <w:rsid w:val="00D6157F"/>
    <w:rsid w:val="00D91A69"/>
    <w:rsid w:val="00D92938"/>
    <w:rsid w:val="00D97763"/>
    <w:rsid w:val="00DC15C6"/>
    <w:rsid w:val="00DC74FC"/>
    <w:rsid w:val="00DD7C11"/>
    <w:rsid w:val="00DF27C2"/>
    <w:rsid w:val="00E2302C"/>
    <w:rsid w:val="00E37990"/>
    <w:rsid w:val="00E40BD5"/>
    <w:rsid w:val="00E61813"/>
    <w:rsid w:val="00E67A57"/>
    <w:rsid w:val="00E70ABB"/>
    <w:rsid w:val="00E81022"/>
    <w:rsid w:val="00EA327D"/>
    <w:rsid w:val="00ED7102"/>
    <w:rsid w:val="00EF5432"/>
    <w:rsid w:val="00EF57AD"/>
    <w:rsid w:val="00F02BB4"/>
    <w:rsid w:val="00F058BA"/>
    <w:rsid w:val="00F11195"/>
    <w:rsid w:val="00F23549"/>
    <w:rsid w:val="00FC29F6"/>
    <w:rsid w:val="00FC3DDC"/>
    <w:rsid w:val="00FC769C"/>
    <w:rsid w:val="00FD0B7D"/>
    <w:rsid w:val="00FD63C6"/>
    <w:rsid w:val="00FE39A0"/>
    <w:rsid w:val="00FE5F51"/>
    <w:rsid w:val="00FF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0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E8"/>
    <w:pPr>
      <w:spacing w:before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0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E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354C"/>
    <w:rPr>
      <w:b/>
      <w:bCs/>
    </w:rPr>
  </w:style>
  <w:style w:type="character" w:styleId="Uwydatnienie">
    <w:name w:val="Emphasis"/>
    <w:basedOn w:val="Domylnaczcionkaakapitu"/>
    <w:uiPriority w:val="20"/>
    <w:qFormat/>
    <w:rsid w:val="004F3959"/>
    <w:rPr>
      <w:b/>
      <w:bCs/>
      <w:i w:val="0"/>
      <w:iCs w:val="0"/>
    </w:rPr>
  </w:style>
  <w:style w:type="character" w:customStyle="1" w:styleId="ft">
    <w:name w:val="ft"/>
    <w:basedOn w:val="Domylnaczcionkaakapitu"/>
    <w:rsid w:val="004F3959"/>
  </w:style>
  <w:style w:type="table" w:styleId="Tabela-Siatka">
    <w:name w:val="Table Grid"/>
    <w:basedOn w:val="Standardowy"/>
    <w:uiPriority w:val="59"/>
    <w:rsid w:val="004F395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2</cp:revision>
  <cp:lastPrinted>2019-09-16T09:52:00Z</cp:lastPrinted>
  <dcterms:created xsi:type="dcterms:W3CDTF">2019-10-14T08:55:00Z</dcterms:created>
  <dcterms:modified xsi:type="dcterms:W3CDTF">2019-10-14T08:55:00Z</dcterms:modified>
</cp:coreProperties>
</file>