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8407C4" w:rsidRDefault="00D41326" w:rsidP="008407C4">
      <w:pPr>
        <w:pStyle w:val="Nagwek"/>
        <w:ind w:left="360"/>
        <w:rPr>
          <w:rFonts w:asciiTheme="minorHAnsi" w:hAnsiTheme="minorHAnsi"/>
          <w:b/>
          <w:sz w:val="20"/>
          <w:szCs w:val="20"/>
        </w:rPr>
      </w:pPr>
      <w:proofErr w:type="spellStart"/>
      <w:r w:rsidRPr="008407C4">
        <w:rPr>
          <w:rFonts w:asciiTheme="minorHAnsi" w:hAnsiTheme="minorHAnsi"/>
          <w:b/>
          <w:sz w:val="20"/>
          <w:szCs w:val="20"/>
        </w:rPr>
        <w:t>WCPiT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/EA/381-</w:t>
      </w:r>
      <w:r w:rsidR="00331E43" w:rsidRPr="008407C4">
        <w:rPr>
          <w:rFonts w:asciiTheme="minorHAnsi" w:hAnsiTheme="minorHAnsi"/>
          <w:b/>
          <w:sz w:val="20"/>
          <w:szCs w:val="20"/>
        </w:rPr>
        <w:t>0</w:t>
      </w:r>
      <w:r w:rsidR="00B44D80" w:rsidRPr="008407C4">
        <w:rPr>
          <w:rFonts w:asciiTheme="minorHAnsi" w:hAnsiTheme="minorHAnsi"/>
          <w:b/>
          <w:sz w:val="20"/>
          <w:szCs w:val="20"/>
        </w:rPr>
        <w:t>8</w:t>
      </w:r>
      <w:r w:rsidR="00CA1B7F" w:rsidRPr="008407C4">
        <w:rPr>
          <w:rFonts w:asciiTheme="minorHAnsi" w:hAnsiTheme="minorHAnsi"/>
          <w:b/>
          <w:sz w:val="20"/>
          <w:szCs w:val="20"/>
        </w:rPr>
        <w:t>/</w:t>
      </w:r>
      <w:r w:rsidRPr="008407C4">
        <w:rPr>
          <w:rFonts w:asciiTheme="minorHAnsi" w:hAnsiTheme="minorHAnsi"/>
          <w:b/>
          <w:sz w:val="20"/>
          <w:szCs w:val="20"/>
        </w:rPr>
        <w:t>1</w:t>
      </w:r>
      <w:r w:rsidR="00CA1B7F" w:rsidRPr="008407C4">
        <w:rPr>
          <w:rFonts w:asciiTheme="minorHAnsi" w:hAnsiTheme="minorHAnsi"/>
          <w:b/>
          <w:sz w:val="20"/>
          <w:szCs w:val="20"/>
        </w:rPr>
        <w:t>7</w:t>
      </w:r>
      <w:r w:rsidR="00B5132F" w:rsidRPr="008407C4">
        <w:rPr>
          <w:rFonts w:asciiTheme="minorHAnsi" w:hAnsiTheme="minorHAnsi"/>
          <w:b/>
          <w:sz w:val="20"/>
          <w:szCs w:val="20"/>
        </w:rPr>
        <w:tab/>
      </w:r>
      <w:r w:rsidR="00B5132F" w:rsidRPr="008407C4">
        <w:rPr>
          <w:rFonts w:asciiTheme="minorHAnsi" w:hAnsiTheme="minorHAnsi"/>
          <w:b/>
          <w:sz w:val="20"/>
          <w:szCs w:val="20"/>
        </w:rPr>
        <w:tab/>
      </w:r>
      <w:r w:rsidR="00CA1B7F" w:rsidRPr="008407C4">
        <w:rPr>
          <w:rFonts w:asciiTheme="minorHAnsi" w:hAnsiTheme="minorHAnsi"/>
          <w:b/>
          <w:sz w:val="20"/>
          <w:szCs w:val="20"/>
        </w:rPr>
        <w:t xml:space="preserve">            </w:t>
      </w:r>
      <w:r w:rsidR="00B5132F" w:rsidRPr="008407C4">
        <w:rPr>
          <w:rFonts w:asciiTheme="minorHAnsi" w:hAnsiTheme="minorHAnsi"/>
          <w:b/>
          <w:sz w:val="20"/>
          <w:szCs w:val="20"/>
        </w:rPr>
        <w:t>Poznań,</w:t>
      </w:r>
      <w:r w:rsidR="00CA1B7F" w:rsidRPr="008407C4">
        <w:rPr>
          <w:rFonts w:asciiTheme="minorHAnsi" w:hAnsiTheme="minorHAnsi"/>
          <w:b/>
          <w:sz w:val="20"/>
          <w:szCs w:val="20"/>
        </w:rPr>
        <w:t>2017-03-0</w:t>
      </w:r>
      <w:r w:rsidR="00E54D4D">
        <w:rPr>
          <w:rFonts w:asciiTheme="minorHAnsi" w:hAnsiTheme="minorHAnsi"/>
          <w:b/>
          <w:sz w:val="20"/>
          <w:szCs w:val="20"/>
        </w:rPr>
        <w:t>7</w:t>
      </w:r>
    </w:p>
    <w:p w:rsidR="00CA1B7F" w:rsidRPr="008407C4" w:rsidRDefault="00CA1B7F" w:rsidP="008407C4">
      <w:pPr>
        <w:pStyle w:val="Nagwek"/>
        <w:ind w:left="360"/>
        <w:rPr>
          <w:rFonts w:asciiTheme="minorHAnsi" w:hAnsiTheme="minorHAnsi"/>
          <w:b/>
          <w:sz w:val="20"/>
          <w:szCs w:val="20"/>
        </w:rPr>
      </w:pPr>
    </w:p>
    <w:p w:rsidR="009C38A2" w:rsidRPr="008407C4" w:rsidRDefault="009C38A2" w:rsidP="008407C4">
      <w:pPr>
        <w:pStyle w:val="Nagwek"/>
        <w:ind w:left="360"/>
        <w:jc w:val="right"/>
        <w:rPr>
          <w:rFonts w:asciiTheme="minorHAnsi" w:hAnsiTheme="minorHAnsi"/>
          <w:b/>
          <w:sz w:val="20"/>
          <w:szCs w:val="20"/>
        </w:rPr>
      </w:pPr>
    </w:p>
    <w:p w:rsidR="00B5132F" w:rsidRPr="008407C4" w:rsidRDefault="00B5132F" w:rsidP="008407C4">
      <w:pPr>
        <w:pStyle w:val="Nagwek"/>
        <w:ind w:left="360"/>
        <w:jc w:val="right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Uczestnicy postępowania</w:t>
      </w:r>
    </w:p>
    <w:p w:rsidR="00B44D80" w:rsidRPr="008407C4" w:rsidRDefault="00B44D80" w:rsidP="008407C4">
      <w:pPr>
        <w:spacing w:line="240" w:lineRule="auto"/>
        <w:jc w:val="center"/>
        <w:rPr>
          <w:rFonts w:asciiTheme="minorHAnsi" w:hAnsiTheme="minorHAnsi"/>
          <w:b/>
          <w:sz w:val="20"/>
          <w:szCs w:val="20"/>
        </w:rPr>
      </w:pPr>
    </w:p>
    <w:p w:rsidR="00B44D80" w:rsidRPr="008407C4" w:rsidRDefault="00B5132F" w:rsidP="008407C4">
      <w:pPr>
        <w:spacing w:line="240" w:lineRule="auto"/>
        <w:jc w:val="center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Dotyczy: przetargu nieograniczonego na</w:t>
      </w:r>
    </w:p>
    <w:p w:rsidR="00B44D80" w:rsidRPr="008407C4" w:rsidRDefault="00B44D80" w:rsidP="008407C4">
      <w:pPr>
        <w:pStyle w:val="tytu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DOSTAW</w:t>
      </w:r>
      <w:r w:rsidR="008407C4">
        <w:rPr>
          <w:rFonts w:asciiTheme="minorHAnsi" w:hAnsiTheme="minorHAnsi"/>
          <w:sz w:val="20"/>
          <w:szCs w:val="20"/>
        </w:rPr>
        <w:t>Ę</w:t>
      </w:r>
      <w:r w:rsidRPr="008407C4">
        <w:rPr>
          <w:rFonts w:asciiTheme="minorHAnsi" w:hAnsiTheme="minorHAnsi"/>
          <w:sz w:val="20"/>
          <w:szCs w:val="20"/>
        </w:rPr>
        <w:t xml:space="preserve"> ANTYBIOTYKÓW, LEKÓW OGÓLNYCH, CYTOSTATYCZNYCH, PRZECIWGRUŹLICZYCH, LEKÓW IMMUNOSTYMULUJĄCYCH, LEKÓW ODURZAJĄCYCH, PSYCHOTROPOWYCH, LEKÓW Z IMPORTU DOCELOWEGO, PŁYNÓW DO WLEWU DOŻYLNEGO, PŁYNÓW DO IRYGACJI, PŁYNÓW DO HEMOFILTRACJI, SUROWIC I SZCZEPIONEK, ŚRODKÓW KONTRASTOWYCH, PREPARATÓW DO ŻYWIENIA POZAJELITOWEGO, DOJELITOWEGO I DOUSTNEGO, ZESTAWÓW DO PODAŻY ŻYWIENIA DOJELITOWEGO, SUROWCÓW FARMACEUTYCZNYCH, ARTYKUŁÓW MATERIAŁOWYCH</w:t>
      </w:r>
    </w:p>
    <w:p w:rsidR="00E6434D" w:rsidRPr="008407C4" w:rsidRDefault="00E6434D" w:rsidP="008407C4">
      <w:pPr>
        <w:pStyle w:val="Nagwek"/>
        <w:jc w:val="center"/>
        <w:rPr>
          <w:rFonts w:asciiTheme="minorHAnsi" w:hAnsiTheme="minorHAnsi" w:cs="Arial"/>
          <w:b/>
          <w:sz w:val="20"/>
          <w:szCs w:val="20"/>
        </w:rPr>
      </w:pPr>
    </w:p>
    <w:p w:rsidR="006728A9" w:rsidRPr="008407C4" w:rsidRDefault="006728A9" w:rsidP="008407C4">
      <w:pPr>
        <w:spacing w:line="240" w:lineRule="auto"/>
        <w:jc w:val="both"/>
        <w:rPr>
          <w:rFonts w:asciiTheme="minorHAnsi" w:hAnsiTheme="minorHAnsi" w:cs="Segoe UI Semilight"/>
          <w:sz w:val="20"/>
          <w:szCs w:val="20"/>
        </w:rPr>
      </w:pPr>
      <w:r w:rsidRPr="008407C4">
        <w:rPr>
          <w:rFonts w:asciiTheme="minorHAnsi" w:hAnsiTheme="minorHAnsi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8407C4" w:rsidRDefault="00823D9D" w:rsidP="008407C4">
      <w:pPr>
        <w:spacing w:line="240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 xml:space="preserve">Pytanie 1 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sz w:val="20"/>
          <w:szCs w:val="20"/>
          <w:u w:val="single"/>
        </w:rPr>
      </w:pPr>
      <w:r w:rsidRPr="008407C4">
        <w:rPr>
          <w:rFonts w:asciiTheme="minorHAnsi" w:hAnsiTheme="minorHAnsi"/>
          <w:sz w:val="20"/>
          <w:szCs w:val="20"/>
          <w:u w:val="single"/>
        </w:rPr>
        <w:t>Kolejne pytania dotyczą opisu przedmiotu zamówienia w Pakiecie nr 59 w przedmiotowym postępowaniu:</w:t>
      </w:r>
    </w:p>
    <w:p w:rsidR="00B44D80" w:rsidRPr="008407C4" w:rsidRDefault="00B44D80" w:rsidP="008407C4">
      <w:pPr>
        <w:tabs>
          <w:tab w:val="left" w:pos="6521"/>
        </w:tabs>
        <w:spacing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1. Czy Zamawiający dopuszcza i wymaga spełniające warunki określone w SIWZ, nowoczesne </w:t>
      </w:r>
      <w:r w:rsidRPr="008407C4">
        <w:rPr>
          <w:rFonts w:asciiTheme="minorHAnsi" w:hAnsiTheme="minorHAnsi"/>
          <w:color w:val="000000"/>
          <w:sz w:val="20"/>
          <w:szCs w:val="20"/>
        </w:rPr>
        <w:t xml:space="preserve">paski testowe do </w:t>
      </w:r>
      <w:proofErr w:type="spellStart"/>
      <w:r w:rsidRPr="008407C4">
        <w:rPr>
          <w:rFonts w:asciiTheme="minorHAnsi" w:hAnsiTheme="minorHAnsi"/>
          <w:color w:val="000000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/>
          <w:color w:val="000000"/>
          <w:sz w:val="20"/>
          <w:szCs w:val="20"/>
        </w:rPr>
        <w:t xml:space="preserve"> charakteryzujące się opisanymi poniżej cechami: a) </w:t>
      </w:r>
      <w:r w:rsidRPr="008407C4">
        <w:rPr>
          <w:rFonts w:asciiTheme="minorHAnsi" w:hAnsiTheme="minorHAnsi"/>
          <w:sz w:val="20"/>
          <w:szCs w:val="20"/>
        </w:rPr>
        <w:t xml:space="preserve">Funkcja </w:t>
      </w:r>
      <w:proofErr w:type="spellStart"/>
      <w:r w:rsidRPr="008407C4">
        <w:rPr>
          <w:rFonts w:asciiTheme="minorHAnsi" w:hAnsiTheme="minorHAnsi"/>
          <w:sz w:val="20"/>
          <w:szCs w:val="20"/>
        </w:rPr>
        <w:t>Auto-coding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(bez kodowania); b) Automatyczne wykrywanie zbyt małej ilości krwi wprowadzonej do paska wraz z wyświetleniem odpowiedniego komunikatu informującego o niecałkowitym wypełnieniu paska na wyświetlaczu </w:t>
      </w:r>
      <w:proofErr w:type="spellStart"/>
      <w:r w:rsidRPr="008407C4">
        <w:rPr>
          <w:rFonts w:asciiTheme="minorHAnsi" w:hAnsiTheme="minorHAnsi"/>
          <w:sz w:val="20"/>
          <w:szCs w:val="20"/>
        </w:rPr>
        <w:t>glukometru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; c) Enzym oksydaza glukozy; d) zakres wyników pomiaru 20-600mg/dl; e) Czas pomiaru od chwili wprowadzenia próbki 5s i wielkość próbki 0,5 </w:t>
      </w:r>
      <w:proofErr w:type="spellStart"/>
      <w:r w:rsidRPr="008407C4">
        <w:rPr>
          <w:rFonts w:asciiTheme="minorHAnsi" w:hAnsiTheme="minorHAnsi"/>
          <w:sz w:val="20"/>
          <w:szCs w:val="20"/>
        </w:rPr>
        <w:t>mikrolitra</w:t>
      </w:r>
      <w:proofErr w:type="spellEnd"/>
      <w:r w:rsidRPr="008407C4">
        <w:rPr>
          <w:rFonts w:asciiTheme="minorHAnsi" w:hAnsiTheme="minorHAnsi"/>
          <w:sz w:val="20"/>
          <w:szCs w:val="20"/>
        </w:rPr>
        <w:t>; f) zakres hematokrytu 10-70%, umożliwiający wykonywanie pomiarów we krwi kapilarnej osób dorosłych i noworodków; g) bezdotykowy wyrzut zużytego paska po pomiarze za pomocą przycisku; h) stabilność pasków testowych i płynów kontrolnych wynosząca 6 miesięcy po otwarciu fiolki; i) temperatura działania w zakresie 5-45⁰C; j) paski posiadające wszelkie dopuszczenia i certyfikaty aktualnie wymagane zgodnie z polskim prawem?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2. Czy Zamawiający wymaga aby zgodnie z instrukcjami maksymalny błąd pomiarowy pasków testowych nie przekraczał ±15mg/dl dla stężeń glukozy &lt;100mg/dl i ±15% dla stężeń glukozy ≥100mg/dl, tj. zgodnie z zaleceniami Polskiego Towarzystwa Diabetologicznego?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3. Czy Zamawiający dopuści takie paski gdzie wprowadzenie próbki krwi na pasek po zbyt długim czasie oczekiwania (nie podając jaki czas jest zbyt długi) może skutkować otrzymaniem nieprawidłowego wyniku pomiaru? 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8407C4">
        <w:rPr>
          <w:rFonts w:asciiTheme="minorHAnsi" w:hAnsiTheme="minorHAnsi"/>
          <w:color w:val="000000"/>
          <w:sz w:val="20"/>
          <w:szCs w:val="20"/>
        </w:rPr>
        <w:t xml:space="preserve">4. Czy Zamawiający dopuści takie paski testowe, które zgodnie z instrukcją mogą dawać nieprawidłowe wyniki pomiarów stężenia glukozy m. in. u niemowląt, u pacjentów z niewydolnością serca, miażdżycą tętnic lub zaburzeniami krążenia obwodowego? Takie ograniczenia stosowania stawiają pod znakiem zapytania bezpieczeństwo używania pasków testowych tego rodzaju w warunkach pracy szpitala. 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8407C4">
        <w:rPr>
          <w:rFonts w:asciiTheme="minorHAnsi" w:hAnsiTheme="minorHAnsi"/>
          <w:color w:val="000000"/>
          <w:sz w:val="20"/>
          <w:szCs w:val="20"/>
        </w:rPr>
        <w:t xml:space="preserve">5. Czy Zamawiający dopuści paski testowe do </w:t>
      </w:r>
      <w:proofErr w:type="spellStart"/>
      <w:r w:rsidRPr="008407C4">
        <w:rPr>
          <w:rFonts w:asciiTheme="minorHAnsi" w:hAnsiTheme="minorHAnsi"/>
          <w:color w:val="000000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/>
          <w:color w:val="000000"/>
          <w:sz w:val="20"/>
          <w:szCs w:val="20"/>
        </w:rPr>
        <w:t xml:space="preserve">, które zgodnie z zarejestrowaną instrukcją w celu rutynowej kontroli </w:t>
      </w:r>
      <w:proofErr w:type="spellStart"/>
      <w:r w:rsidRPr="008407C4">
        <w:rPr>
          <w:rFonts w:asciiTheme="minorHAnsi" w:hAnsiTheme="minorHAnsi"/>
          <w:color w:val="000000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/>
          <w:color w:val="000000"/>
          <w:sz w:val="20"/>
          <w:szCs w:val="20"/>
        </w:rPr>
        <w:t xml:space="preserve"> i pasków testowych wymagają wykonywania badania z płynem kontrolnym co najmniej raz na tydzień – co spowoduje, że Zamawiający w ciągu obowiązywania umowy przetargowej będzie musiał zużyć kilkadziesiąt opakowań pasków testowych tylko po to, aby wykonywać regularne pomiary z płynem kontrolnym. Spowoduje to znaczne podniesienie kosztów eksploatacji </w:t>
      </w:r>
      <w:proofErr w:type="spellStart"/>
      <w:r w:rsidRPr="008407C4">
        <w:rPr>
          <w:rFonts w:asciiTheme="minorHAnsi" w:hAnsiTheme="minorHAnsi"/>
          <w:color w:val="000000"/>
          <w:sz w:val="20"/>
          <w:szCs w:val="20"/>
        </w:rPr>
        <w:t>glukometru</w:t>
      </w:r>
      <w:proofErr w:type="spellEnd"/>
      <w:r w:rsidRPr="008407C4">
        <w:rPr>
          <w:rFonts w:asciiTheme="minorHAnsi" w:hAnsiTheme="minorHAnsi"/>
          <w:color w:val="000000"/>
          <w:sz w:val="20"/>
          <w:szCs w:val="20"/>
        </w:rPr>
        <w:t>, zwiększając zużycie zarówno pasków jak i płynów kontrolnych.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color w:val="000000"/>
          <w:sz w:val="20"/>
          <w:szCs w:val="20"/>
        </w:rPr>
      </w:pPr>
      <w:r w:rsidRPr="008407C4">
        <w:rPr>
          <w:rFonts w:asciiTheme="minorHAnsi" w:hAnsiTheme="minorHAnsi"/>
          <w:color w:val="000000"/>
          <w:sz w:val="20"/>
          <w:szCs w:val="20"/>
        </w:rPr>
        <w:t>6. Czy Zamawiający wymaga pasków testowych z sygnalizacją pobrania zbyt małej objętości próbki krwi za pomocą specjalnego komunikatu na wyświetlaczu? Taka funkcja zabezpiecza przed otrzymaniem zaniżonego wyniku pomiaru.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color w:val="000000"/>
          <w:sz w:val="20"/>
          <w:szCs w:val="20"/>
        </w:rPr>
        <w:t xml:space="preserve">7. Czy Zamawiający dopuszcza złożenie oferty w postaci wysokiej jakości pasków testowych do </w:t>
      </w:r>
      <w:proofErr w:type="spellStart"/>
      <w:r w:rsidRPr="008407C4">
        <w:rPr>
          <w:rFonts w:asciiTheme="minorHAnsi" w:hAnsiTheme="minorHAnsi"/>
          <w:color w:val="000000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/>
          <w:color w:val="000000"/>
          <w:sz w:val="20"/>
          <w:szCs w:val="20"/>
        </w:rPr>
        <w:t xml:space="preserve"> charakteryzujących się opisanymi poniżej parametrami: a) </w:t>
      </w:r>
      <w:r w:rsidRPr="008407C4">
        <w:rPr>
          <w:rFonts w:asciiTheme="minorHAnsi" w:hAnsiTheme="minorHAnsi"/>
          <w:sz w:val="20"/>
          <w:szCs w:val="20"/>
        </w:rPr>
        <w:t xml:space="preserve">Funkcja </w:t>
      </w:r>
      <w:proofErr w:type="spellStart"/>
      <w:r w:rsidRPr="008407C4">
        <w:rPr>
          <w:rFonts w:asciiTheme="minorHAnsi" w:hAnsiTheme="minorHAnsi"/>
          <w:sz w:val="20"/>
          <w:szCs w:val="20"/>
        </w:rPr>
        <w:t>Auto-coding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eliminująca konieczność kodowania; b) Automatyczne wykrywanie zbyt małej ilości krwi wprowadzonej do paska wraz z wyświetleniem odpowiedniego komunikatu informującego o niecałkowitym wypełnieniu paska na wyświetlaczu </w:t>
      </w:r>
      <w:proofErr w:type="spellStart"/>
      <w:r w:rsidRPr="008407C4">
        <w:rPr>
          <w:rFonts w:asciiTheme="minorHAnsi" w:hAnsiTheme="minorHAnsi"/>
          <w:sz w:val="20"/>
          <w:szCs w:val="20"/>
        </w:rPr>
        <w:t>glukometru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; c) Enzym dehydrogenaza glukozy </w:t>
      </w:r>
      <w:proofErr w:type="spellStart"/>
      <w:r w:rsidRPr="008407C4">
        <w:rPr>
          <w:rFonts w:asciiTheme="minorHAnsi" w:hAnsiTheme="minorHAnsi"/>
          <w:sz w:val="20"/>
          <w:szCs w:val="20"/>
        </w:rPr>
        <w:t>GDH-FAD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; d) Kapilara samozasysająca krew, wyrzut zużytego paska za pomocą przycisku; e) Wyrzut zużytego paska za pomocą przycisku, dobrze oznaczone kontrastowym wskaźnikiem miejsce zasysania krwi w przedniej części paska nieco poniżej szczytowej, znajdujące się poza obrębem </w:t>
      </w:r>
      <w:proofErr w:type="spellStart"/>
      <w:r w:rsidRPr="008407C4">
        <w:rPr>
          <w:rFonts w:asciiTheme="minorHAnsi" w:hAnsiTheme="minorHAnsi"/>
          <w:sz w:val="20"/>
          <w:szCs w:val="20"/>
        </w:rPr>
        <w:t>glukometru</w:t>
      </w:r>
      <w:proofErr w:type="spellEnd"/>
      <w:r w:rsidRPr="008407C4">
        <w:rPr>
          <w:rFonts w:asciiTheme="minorHAnsi" w:hAnsiTheme="minorHAnsi"/>
          <w:sz w:val="20"/>
          <w:szCs w:val="20"/>
        </w:rPr>
        <w:t>; g) Paski wymagające sporadycznej kontroli za pomocą płynów kontrolnych; h) Możliwość wykorzystania jednostkowego opakowania pasków testowych w ciągu 8 miesięcy (opakowanie jednostkowe zawiera 2 fiolki x 25 pasków); i) zakres hematokrytu 20-60% i zakres pomiarowy 10-900 mg/dl przy dokładności wyników zgodnej z wytycznymi aktualnej normy ISO15197i najnowszymi zaleceniami Polskiego Towarzystwa Diabetologicznego w pełnym zakresie; j) zalecana temperatura przechowywania pasków w zakresie 1-32°C; k) paski posiadające wszelkie dopuszczenia i certyfikaty aktualnie wymagane zgodnie z polskim prawem.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8. Czy Zamawiający wymaga pasków testowych z zakresem hematokrytu wynoszącym przynajmniej 20-60%, standardowym dla nowszych rodzajów pasków? Informujemy, że paski testowe z węższym zakresem HCT, takim jak 30-55% lub 35-60% mogą dawać </w:t>
      </w:r>
      <w:r w:rsidRPr="008407C4">
        <w:rPr>
          <w:rFonts w:asciiTheme="minorHAnsi" w:hAnsiTheme="minorHAnsi"/>
          <w:sz w:val="20"/>
          <w:szCs w:val="20"/>
        </w:rPr>
        <w:lastRenderedPageBreak/>
        <w:t>nieprawidłowe wyniki pomiarów m. in. u kobiet w ciąży, u niemowląt i dzieci poniżej 6. roku życia i u osób z niedokrwistością o różnej etiologii, gdyż wartości hematokrytu u pacjentów z tych grup mogą wynosić poniżej 30%.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9. Czy Zamawiający dopuści paski testowe, których zgodnie z instrukcją nie należy stosować u niemowląt?</w:t>
      </w:r>
    </w:p>
    <w:p w:rsidR="00512CDF" w:rsidRPr="008407C4" w:rsidRDefault="00512CDF" w:rsidP="008407C4">
      <w:pPr>
        <w:spacing w:after="0" w:line="240" w:lineRule="auto"/>
        <w:rPr>
          <w:rFonts w:asciiTheme="minorHAnsi" w:hAnsiTheme="minorHAnsi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sz w:val="20"/>
          <w:szCs w:val="20"/>
          <w:u w:val="single"/>
        </w:rPr>
        <w:t xml:space="preserve"> na pyt.1</w:t>
      </w:r>
      <w:r w:rsidR="00B44D80" w:rsidRPr="008407C4">
        <w:rPr>
          <w:rFonts w:asciiTheme="minorHAnsi" w:hAnsiTheme="minorHAnsi"/>
          <w:b/>
          <w:sz w:val="20"/>
          <w:szCs w:val="20"/>
          <w:u w:val="single"/>
        </w:rPr>
        <w:t>, ad 1-9</w:t>
      </w:r>
      <w:r w:rsidRPr="008407C4">
        <w:rPr>
          <w:rFonts w:asciiTheme="minorHAnsi" w:hAnsiTheme="minorHAnsi"/>
          <w:b/>
          <w:sz w:val="20"/>
          <w:szCs w:val="20"/>
          <w:u w:val="single"/>
        </w:rPr>
        <w:t>:  Zamawiający  pozostawia zapisy SIWZ bez zmian.</w:t>
      </w:r>
    </w:p>
    <w:p w:rsidR="001A2625" w:rsidRPr="008407C4" w:rsidRDefault="001A2625" w:rsidP="008407C4">
      <w:pPr>
        <w:spacing w:line="240" w:lineRule="auto"/>
        <w:jc w:val="both"/>
        <w:rPr>
          <w:rFonts w:asciiTheme="minorHAnsi" w:hAnsiTheme="minorHAnsi"/>
          <w:sz w:val="20"/>
          <w:szCs w:val="20"/>
          <w:u w:val="single"/>
        </w:rPr>
      </w:pPr>
    </w:p>
    <w:p w:rsidR="00EB62E2" w:rsidRPr="008407C4" w:rsidRDefault="00EB62E2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2</w:t>
      </w:r>
    </w:p>
    <w:p w:rsidR="00F74FD7" w:rsidRPr="008407C4" w:rsidRDefault="00923C8C" w:rsidP="008407C4">
      <w:pPr>
        <w:spacing w:line="240" w:lineRule="auto"/>
        <w:rPr>
          <w:rFonts w:asciiTheme="minorHAnsi" w:hAnsiTheme="minorHAnsi" w:cs="Arial"/>
          <w:sz w:val="20"/>
          <w:szCs w:val="20"/>
        </w:rPr>
      </w:pPr>
      <w:r w:rsidRPr="008407C4">
        <w:rPr>
          <w:rFonts w:asciiTheme="minorHAnsi" w:hAnsiTheme="minorHAnsi" w:cs="Arial"/>
          <w:noProof/>
          <w:sz w:val="20"/>
          <w:szCs w:val="20"/>
          <w:lang w:eastAsia="pl-PL"/>
        </w:rPr>
        <w:drawing>
          <wp:inline distT="0" distB="0" distL="0" distR="0">
            <wp:extent cx="6838950" cy="137160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FD7" w:rsidRPr="008407C4" w:rsidRDefault="00F74FD7" w:rsidP="008407C4">
      <w:pPr>
        <w:autoSpaceDE w:val="0"/>
        <w:autoSpaceDN w:val="0"/>
        <w:adjustRightInd w:val="0"/>
        <w:spacing w:line="240" w:lineRule="auto"/>
        <w:rPr>
          <w:rFonts w:asciiTheme="minorHAnsi" w:hAnsiTheme="minorHAnsi"/>
          <w:b/>
          <w:color w:val="000000"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color w:val="000000"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color w:val="000000"/>
          <w:sz w:val="20"/>
          <w:szCs w:val="20"/>
          <w:u w:val="single"/>
        </w:rPr>
        <w:t xml:space="preserve"> na pyt.2</w:t>
      </w:r>
      <w:r w:rsidRPr="008407C4">
        <w:rPr>
          <w:rFonts w:asciiTheme="minorHAnsi" w:hAnsiTheme="minorHAnsi"/>
          <w:b/>
          <w:color w:val="000000"/>
          <w:sz w:val="20"/>
          <w:szCs w:val="20"/>
          <w:u w:val="single"/>
        </w:rPr>
        <w:t>: Zamawiający podaje skład Komisji Przetargowej:</w:t>
      </w:r>
    </w:p>
    <w:p w:rsidR="00F74FD7" w:rsidRPr="008407C4" w:rsidRDefault="00F74FD7" w:rsidP="008407C4">
      <w:pPr>
        <w:spacing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</w:rPr>
        <w:t>Przewodniczący</w:t>
      </w:r>
      <w:r w:rsidRPr="008407C4">
        <w:rPr>
          <w:rFonts w:asciiTheme="minorHAnsi" w:hAnsiTheme="minorHAnsi" w:cs="Arial"/>
          <w:b/>
          <w:sz w:val="20"/>
          <w:szCs w:val="20"/>
        </w:rPr>
        <w:tab/>
        <w:t>-</w:t>
      </w:r>
      <w:r w:rsidRPr="008407C4">
        <w:rPr>
          <w:rFonts w:asciiTheme="minorHAnsi" w:hAnsiTheme="minorHAnsi" w:cs="Arial"/>
          <w:b/>
          <w:sz w:val="20"/>
          <w:szCs w:val="20"/>
        </w:rPr>
        <w:tab/>
        <w:t>Jolanta Stachowiak</w:t>
      </w:r>
      <w:r w:rsidRPr="008407C4">
        <w:rPr>
          <w:rFonts w:asciiTheme="minorHAnsi" w:hAnsiTheme="minorHAnsi" w:cs="Arial"/>
          <w:b/>
          <w:sz w:val="20"/>
          <w:szCs w:val="20"/>
        </w:rPr>
        <w:tab/>
      </w:r>
      <w:r w:rsidRPr="008407C4">
        <w:rPr>
          <w:rFonts w:asciiTheme="minorHAnsi" w:hAnsiTheme="minorHAnsi" w:cs="Arial"/>
          <w:b/>
          <w:sz w:val="20"/>
          <w:szCs w:val="20"/>
        </w:rPr>
        <w:tab/>
      </w:r>
    </w:p>
    <w:p w:rsidR="00F74FD7" w:rsidRPr="008407C4" w:rsidRDefault="00F74FD7" w:rsidP="008407C4">
      <w:pPr>
        <w:spacing w:line="240" w:lineRule="auto"/>
        <w:jc w:val="both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</w:rPr>
        <w:t>Członek</w:t>
      </w:r>
      <w:r w:rsidRPr="008407C4">
        <w:rPr>
          <w:rFonts w:asciiTheme="minorHAnsi" w:hAnsiTheme="minorHAnsi" w:cs="Arial"/>
          <w:b/>
          <w:sz w:val="20"/>
          <w:szCs w:val="20"/>
        </w:rPr>
        <w:tab/>
      </w:r>
      <w:r w:rsidRPr="008407C4">
        <w:rPr>
          <w:rFonts w:asciiTheme="minorHAnsi" w:hAnsiTheme="minorHAnsi" w:cs="Arial"/>
          <w:b/>
          <w:sz w:val="20"/>
          <w:szCs w:val="20"/>
        </w:rPr>
        <w:tab/>
        <w:t>-</w:t>
      </w:r>
      <w:r w:rsidRPr="008407C4">
        <w:rPr>
          <w:rFonts w:asciiTheme="minorHAnsi" w:hAnsiTheme="minorHAnsi" w:cs="Arial"/>
          <w:b/>
          <w:sz w:val="20"/>
          <w:szCs w:val="20"/>
        </w:rPr>
        <w:tab/>
      </w:r>
      <w:r w:rsidR="00B44D80" w:rsidRPr="008407C4">
        <w:rPr>
          <w:rFonts w:asciiTheme="minorHAnsi" w:hAnsiTheme="minorHAnsi" w:cs="Arial"/>
          <w:b/>
          <w:sz w:val="20"/>
          <w:szCs w:val="20"/>
        </w:rPr>
        <w:t>Teodora Jodko</w:t>
      </w:r>
      <w:r w:rsidRPr="008407C4">
        <w:rPr>
          <w:rFonts w:asciiTheme="minorHAnsi" w:hAnsiTheme="minorHAnsi" w:cs="Arial"/>
          <w:b/>
          <w:sz w:val="20"/>
          <w:szCs w:val="20"/>
        </w:rPr>
        <w:tab/>
      </w:r>
      <w:r w:rsidRPr="008407C4">
        <w:rPr>
          <w:rFonts w:asciiTheme="minorHAnsi" w:hAnsiTheme="minorHAnsi" w:cs="Arial"/>
          <w:b/>
          <w:sz w:val="20"/>
          <w:szCs w:val="20"/>
        </w:rPr>
        <w:tab/>
      </w: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</w:rPr>
        <w:t xml:space="preserve">Sekretarz </w:t>
      </w:r>
      <w:r w:rsidR="00841716" w:rsidRPr="008407C4">
        <w:rPr>
          <w:rFonts w:asciiTheme="minorHAnsi" w:hAnsiTheme="minorHAnsi" w:cs="Arial"/>
          <w:b/>
          <w:sz w:val="20"/>
          <w:szCs w:val="20"/>
        </w:rPr>
        <w:tab/>
      </w:r>
      <w:r w:rsidRPr="008407C4">
        <w:rPr>
          <w:rFonts w:asciiTheme="minorHAnsi" w:hAnsiTheme="minorHAnsi" w:cs="Arial"/>
          <w:b/>
          <w:sz w:val="20"/>
          <w:szCs w:val="20"/>
        </w:rPr>
        <w:t>-</w:t>
      </w:r>
      <w:r w:rsidRPr="008407C4">
        <w:rPr>
          <w:rFonts w:asciiTheme="minorHAnsi" w:hAnsiTheme="minorHAnsi" w:cs="Arial"/>
          <w:b/>
          <w:sz w:val="20"/>
          <w:szCs w:val="20"/>
        </w:rPr>
        <w:tab/>
        <w:t xml:space="preserve">Agnieszka </w:t>
      </w:r>
      <w:proofErr w:type="spellStart"/>
      <w:r w:rsidRPr="008407C4">
        <w:rPr>
          <w:rFonts w:asciiTheme="minorHAnsi" w:hAnsiTheme="minorHAnsi" w:cs="Arial"/>
          <w:b/>
          <w:sz w:val="20"/>
          <w:szCs w:val="20"/>
        </w:rPr>
        <w:t>Sewastynowicz</w:t>
      </w:r>
      <w:proofErr w:type="spellEnd"/>
    </w:p>
    <w:p w:rsidR="008407C4" w:rsidRDefault="008407C4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Pakiet nr 3 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Kolejne pytanie dotyczy opisu przedmiotu zamówienia w Pakiecie nr 49 poz. 56 w przedmiotowym postępowaniu:</w:t>
      </w:r>
    </w:p>
    <w:p w:rsidR="00B44D80" w:rsidRPr="008407C4" w:rsidRDefault="00B44D80" w:rsidP="008407C4">
      <w:pPr>
        <w:numPr>
          <w:ilvl w:val="0"/>
          <w:numId w:val="15"/>
        </w:numPr>
        <w:spacing w:line="240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color w:val="000000"/>
          <w:sz w:val="20"/>
          <w:szCs w:val="20"/>
        </w:rPr>
        <w:t xml:space="preserve">Z uwagi na umieszczenie w opisie przedmiotu zamówienia opisu </w:t>
      </w:r>
      <w:proofErr w:type="spellStart"/>
      <w:r w:rsidRPr="008407C4">
        <w:rPr>
          <w:rFonts w:asciiTheme="minorHAnsi" w:hAnsiTheme="minorHAnsi"/>
          <w:b/>
          <w:color w:val="000000"/>
          <w:sz w:val="20"/>
          <w:szCs w:val="20"/>
        </w:rPr>
        <w:t>probiotyku</w:t>
      </w:r>
      <w:proofErr w:type="spellEnd"/>
      <w:r w:rsidRPr="008407C4">
        <w:rPr>
          <w:rFonts w:asciiTheme="minorHAnsi" w:hAnsiTheme="minorHAnsi"/>
          <w:b/>
          <w:color w:val="000000"/>
          <w:sz w:val="20"/>
          <w:szCs w:val="20"/>
        </w:rPr>
        <w:t xml:space="preserve"> odpowiadającego suplementowi diety konkretnego producenta, prosimy o dopuszczenie spełniającego te same cele zamiennika w postaci preparatu </w:t>
      </w:r>
      <w:proofErr w:type="spellStart"/>
      <w:r w:rsidRPr="008407C4">
        <w:rPr>
          <w:rFonts w:asciiTheme="minorHAnsi" w:hAnsiTheme="minorHAnsi"/>
          <w:b/>
          <w:color w:val="000000"/>
          <w:sz w:val="20"/>
          <w:szCs w:val="20"/>
        </w:rPr>
        <w:t>probiotycznego</w:t>
      </w:r>
      <w:proofErr w:type="spellEnd"/>
      <w:r w:rsidRPr="008407C4">
        <w:rPr>
          <w:rFonts w:asciiTheme="minorHAnsi" w:hAnsiTheme="minorHAnsi"/>
          <w:b/>
          <w:color w:val="000000"/>
          <w:sz w:val="20"/>
          <w:szCs w:val="20"/>
        </w:rPr>
        <w:t xml:space="preserve"> o nazwie </w:t>
      </w:r>
      <w:proofErr w:type="spellStart"/>
      <w:r w:rsidRPr="008407C4">
        <w:rPr>
          <w:rFonts w:asciiTheme="minorHAnsi" w:hAnsiTheme="minorHAnsi"/>
          <w:b/>
          <w:color w:val="000000"/>
          <w:sz w:val="20"/>
          <w:szCs w:val="20"/>
        </w:rPr>
        <w:t>ProbioDr</w:t>
      </w:r>
      <w:proofErr w:type="spellEnd"/>
      <w:r w:rsidRPr="008407C4">
        <w:rPr>
          <w:rFonts w:asciiTheme="minorHAnsi" w:hAnsiTheme="minorHAnsi"/>
          <w:b/>
          <w:color w:val="000000"/>
          <w:sz w:val="20"/>
          <w:szCs w:val="20"/>
        </w:rPr>
        <w:t xml:space="preserve">. będącego dietetycznym środkiem spożywczym specjalnego przeznaczenia medycznego, występującym w takiej samej postaci jak podano w SIWZ (kapsułki o masie 530 mg, opakowanie x 60 kaps – po przeliczeniu na odpowiednią liczbę opakowań), </w:t>
      </w:r>
      <w:r w:rsidRPr="008407C4">
        <w:rPr>
          <w:rFonts w:asciiTheme="minorHAnsi" w:hAnsiTheme="minorHAnsi"/>
          <w:b/>
          <w:sz w:val="20"/>
          <w:szCs w:val="20"/>
        </w:rPr>
        <w:t xml:space="preserve">przeznaczonego do stosowania u niemowląt, dzieci i osób dorosłych, zawierającego w swoim składzie najlepiej przebadany pod względem klinicznym szczep bakterii </w:t>
      </w:r>
      <w:proofErr w:type="spellStart"/>
      <w:r w:rsidRPr="008407C4">
        <w:rPr>
          <w:rFonts w:asciiTheme="minorHAnsi" w:hAnsiTheme="minorHAnsi"/>
          <w:b/>
          <w:sz w:val="20"/>
          <w:szCs w:val="20"/>
        </w:rPr>
        <w:t>probiotycznych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rhamnosus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i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helveticus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w łącznym stężeniu 2 mld CFU/kapsułkę oraz inulinę w stężeniu 100 mg/kaps.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Kolejne pytanie dotyczy opisu przedmiotu zamówienia  w Pakiecie nr 49 poz. 57, 60 i 61 w przedmiotowym postępowaniu:</w:t>
      </w:r>
    </w:p>
    <w:p w:rsidR="00B44D80" w:rsidRPr="008407C4" w:rsidRDefault="00B44D80" w:rsidP="008407C4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 xml:space="preserve">Zwracamy się z uprzejmą prośbą o dopuszczenie zaoferowania spełniającego te same cele zamiennika o nazwie </w:t>
      </w:r>
      <w:proofErr w:type="spellStart"/>
      <w:r w:rsidRPr="008407C4">
        <w:rPr>
          <w:rFonts w:asciiTheme="minorHAnsi" w:hAnsiTheme="minorHAnsi"/>
          <w:b/>
          <w:sz w:val="20"/>
          <w:szCs w:val="20"/>
        </w:rPr>
        <w:t>LactoDr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. będącego dietetycznym środkiem spożywczym specjalnego przeznaczenia medycznego, zawierającym najlepiej przebadany pod względem klinicznym szczep bakterii </w:t>
      </w:r>
      <w:proofErr w:type="spellStart"/>
      <w:r w:rsidRPr="008407C4">
        <w:rPr>
          <w:rFonts w:asciiTheme="minorHAnsi" w:hAnsiTheme="minorHAnsi"/>
          <w:b/>
          <w:sz w:val="20"/>
          <w:szCs w:val="20"/>
        </w:rPr>
        <w:t>probiotycznych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rhamnosus</w:t>
      </w:r>
      <w:proofErr w:type="spellEnd"/>
      <w:r w:rsidRPr="008407C4">
        <w:rPr>
          <w:rFonts w:asciiTheme="minorHAnsi" w:hAnsiTheme="minorHAnsi"/>
          <w:b/>
          <w:i/>
          <w:sz w:val="20"/>
          <w:szCs w:val="20"/>
        </w:rPr>
        <w:t xml:space="preserve"> GG ATCC 53103</w:t>
      </w:r>
      <w:r w:rsidRPr="008407C4">
        <w:rPr>
          <w:rFonts w:asciiTheme="minorHAnsi" w:hAnsiTheme="minorHAnsi"/>
          <w:b/>
          <w:sz w:val="20"/>
          <w:szCs w:val="20"/>
        </w:rPr>
        <w:t xml:space="preserve"> (inaczej: LGG; działanie szczepu potwierdzono w kilkuset opublikowanych badaniach klinicznych) w zapewniającym wysoką aktywność stężeniu 6 mld CFU/kapsułkę, konfekcjonowanego w opakowaniach x 30 kapsułek – po przeliczeniu kapsułek na odpowiednią ilość opakowań. Opublikowane rekomendacje Europejskiego Towarzystwa Gastroenterologii, Hepatologii i Żywienia Dzieci (ESPGHAN) zalecają stosowanie bakterii gatunku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b/>
          <w:i/>
          <w:sz w:val="20"/>
          <w:szCs w:val="20"/>
        </w:rPr>
        <w:t>rhamnosus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jako </w:t>
      </w:r>
      <w:proofErr w:type="spellStart"/>
      <w:r w:rsidRPr="008407C4">
        <w:rPr>
          <w:rFonts w:asciiTheme="minorHAnsi" w:hAnsiTheme="minorHAnsi"/>
          <w:b/>
          <w:sz w:val="20"/>
          <w:szCs w:val="20"/>
        </w:rPr>
        <w:t>probiotyku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o klinicznie potwierdzonych właściwościach </w:t>
      </w:r>
      <w:r w:rsidRPr="008407C4">
        <w:rPr>
          <w:rFonts w:asciiTheme="minorHAnsi" w:hAnsiTheme="minorHAnsi" w:cs="AdvPADBA"/>
          <w:b/>
          <w:sz w:val="20"/>
          <w:szCs w:val="20"/>
          <w:lang w:eastAsia="pl-PL"/>
        </w:rPr>
        <w:t>(</w:t>
      </w:r>
      <w:r w:rsidRPr="008407C4">
        <w:rPr>
          <w:rFonts w:asciiTheme="minorHAnsi" w:hAnsiTheme="minorHAnsi" w:cs="AdvPADBA"/>
          <w:b/>
          <w:i/>
          <w:sz w:val="20"/>
          <w:szCs w:val="20"/>
          <w:lang w:eastAsia="pl-PL"/>
        </w:rPr>
        <w:t xml:space="preserve">Szajewska i </w:t>
      </w:r>
      <w:proofErr w:type="spellStart"/>
      <w:r w:rsidRPr="008407C4">
        <w:rPr>
          <w:rFonts w:asciiTheme="minorHAnsi" w:hAnsiTheme="minorHAnsi" w:cs="AdvPADBA"/>
          <w:b/>
          <w:i/>
          <w:sz w:val="20"/>
          <w:szCs w:val="20"/>
          <w:lang w:eastAsia="pl-PL"/>
        </w:rPr>
        <w:t>wsp</w:t>
      </w:r>
      <w:proofErr w:type="spellEnd"/>
      <w:r w:rsidRPr="008407C4">
        <w:rPr>
          <w:rFonts w:asciiTheme="minorHAnsi" w:hAnsiTheme="minorHAnsi" w:cs="AdvPADBA"/>
          <w:b/>
          <w:i/>
          <w:sz w:val="20"/>
          <w:szCs w:val="20"/>
          <w:lang w:eastAsia="pl-PL"/>
        </w:rPr>
        <w:t xml:space="preserve">., </w:t>
      </w:r>
      <w:r w:rsidRPr="008407C4">
        <w:rPr>
          <w:rFonts w:asciiTheme="minorHAnsi" w:hAnsiTheme="minorHAnsi" w:cs="AdvPAE92"/>
          <w:b/>
          <w:i/>
          <w:sz w:val="20"/>
          <w:szCs w:val="20"/>
          <w:lang w:eastAsia="pl-PL"/>
        </w:rPr>
        <w:t xml:space="preserve">JPGN </w:t>
      </w:r>
      <w:r w:rsidRPr="008407C4">
        <w:rPr>
          <w:rFonts w:asciiTheme="minorHAnsi" w:hAnsiTheme="minorHAnsi" w:cs="AdvPADBA"/>
          <w:b/>
          <w:i/>
          <w:sz w:val="20"/>
          <w:szCs w:val="20"/>
          <w:lang w:eastAsia="pl-PL"/>
        </w:rPr>
        <w:t>2016;62: 495–506</w:t>
      </w:r>
      <w:r w:rsidRPr="008407C4">
        <w:rPr>
          <w:rFonts w:asciiTheme="minorHAnsi" w:hAnsiTheme="minorHAnsi" w:cs="AdvPADBA"/>
          <w:b/>
          <w:sz w:val="20"/>
          <w:szCs w:val="20"/>
          <w:lang w:eastAsia="pl-PL"/>
        </w:rPr>
        <w:t>)</w:t>
      </w:r>
      <w:r w:rsidRPr="008407C4">
        <w:rPr>
          <w:rFonts w:asciiTheme="minorHAnsi" w:hAnsiTheme="minorHAnsi"/>
          <w:b/>
          <w:sz w:val="20"/>
          <w:szCs w:val="20"/>
        </w:rPr>
        <w:t>. Poniżej przedstawiamy potencjalne korzyści płynące z dopuszczenia oferty w postaci w/w preparatu:</w:t>
      </w:r>
    </w:p>
    <w:p w:rsidR="00B44D80" w:rsidRPr="008407C4" w:rsidRDefault="00B44D80" w:rsidP="008407C4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Szczep bakterii najlepiej przebadany pod względem klinicznym – literatura medyczna potwierdza skuteczność działania i bezpieczeństwo stosowania LGG u osób dorosłych, dzieci i noworodków. Potwierdzona w badaniach skuteczność działania przy zastosowanym stężeniu 6 mld CFU.</w:t>
      </w:r>
    </w:p>
    <w:p w:rsidR="00B44D80" w:rsidRPr="008407C4" w:rsidRDefault="00B44D80" w:rsidP="008407C4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Brak innych szczepów bakterii, które mogłyby potencjalnie wchodzić w interakcje antagonistyczne ze składnikiem głównym preparatu i osłabiać bądź niwelować jego działanie.</w:t>
      </w:r>
    </w:p>
    <w:p w:rsidR="00B44D80" w:rsidRPr="008407C4" w:rsidRDefault="00B44D80" w:rsidP="008407C4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Preparat przeznaczony do stosowania raz na dobę.</w:t>
      </w:r>
    </w:p>
    <w:p w:rsidR="00B44D80" w:rsidRPr="008407C4" w:rsidRDefault="00B44D80" w:rsidP="008407C4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Brak konieczności przechowywania preparatu w lodówce.</w:t>
      </w:r>
    </w:p>
    <w:p w:rsidR="00B44D80" w:rsidRPr="008407C4" w:rsidRDefault="00B44D80" w:rsidP="008407C4">
      <w:pPr>
        <w:numPr>
          <w:ilvl w:val="0"/>
          <w:numId w:val="13"/>
        </w:numPr>
        <w:spacing w:line="240" w:lineRule="auto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</w:rPr>
        <w:t>Możliwość stosowania u pacjentów bez ograniczeń wiekowych.</w:t>
      </w:r>
    </w:p>
    <w:p w:rsidR="00B44D80" w:rsidRPr="008407C4" w:rsidRDefault="00B44D80" w:rsidP="008407C4">
      <w:pPr>
        <w:spacing w:line="240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Kolejne pytanie dotyczy opisu przedmiotu zamówienia  w Pakiecie nr 49 poz. 73 w przedmiotowym postępowaniu:</w:t>
      </w:r>
    </w:p>
    <w:p w:rsidR="00B44D80" w:rsidRPr="008407C4" w:rsidRDefault="00B44D80" w:rsidP="008407C4">
      <w:pPr>
        <w:numPr>
          <w:ilvl w:val="0"/>
          <w:numId w:val="15"/>
        </w:numPr>
        <w:spacing w:line="240" w:lineRule="auto"/>
        <w:jc w:val="both"/>
        <w:rPr>
          <w:rFonts w:asciiTheme="minorHAnsi" w:hAnsiTheme="minorHAnsi"/>
          <w:b/>
          <w:color w:val="000000"/>
          <w:sz w:val="20"/>
          <w:szCs w:val="20"/>
        </w:rPr>
      </w:pPr>
      <w:r w:rsidRPr="008407C4">
        <w:rPr>
          <w:rFonts w:asciiTheme="minorHAnsi" w:hAnsiTheme="minorHAnsi"/>
          <w:b/>
          <w:color w:val="000000"/>
          <w:sz w:val="20"/>
          <w:szCs w:val="20"/>
        </w:rPr>
        <w:lastRenderedPageBreak/>
        <w:t>Z uwagi na podanie w opisie przedmiotu zamówienia składu konkretnego suplementu diety, prosimy o dopuszczenie produktu równoważnego, o takim samym składzie podanych substancji czynnych i statusie rejestracyjnym, w postaci tabletek powlekanych.</w:t>
      </w:r>
    </w:p>
    <w:p w:rsidR="00994194" w:rsidRPr="008407C4" w:rsidRDefault="00994194" w:rsidP="008407C4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sz w:val="20"/>
          <w:szCs w:val="20"/>
          <w:u w:val="single"/>
        </w:rPr>
        <w:t xml:space="preserve"> na pyt 3</w:t>
      </w:r>
      <w:r w:rsidR="00190598" w:rsidRPr="008407C4">
        <w:rPr>
          <w:rFonts w:asciiTheme="minorHAnsi" w:hAnsiTheme="minorHAnsi"/>
          <w:b/>
          <w:sz w:val="20"/>
          <w:szCs w:val="20"/>
          <w:u w:val="single"/>
        </w:rPr>
        <w:t xml:space="preserve"> ad 1-3</w:t>
      </w:r>
      <w:r w:rsidRPr="008407C4">
        <w:rPr>
          <w:rFonts w:asciiTheme="minorHAnsi" w:hAnsiTheme="minorHAnsi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/>
          <w:b/>
          <w:sz w:val="20"/>
          <w:szCs w:val="20"/>
        </w:rPr>
        <w:t xml:space="preserve">  Zamawiający pozostawia zapisy SIWZ bez zmian.</w:t>
      </w:r>
    </w:p>
    <w:p w:rsidR="00F74FD7" w:rsidRPr="008407C4" w:rsidRDefault="00F74FD7" w:rsidP="008407C4">
      <w:pPr>
        <w:autoSpaceDE w:val="0"/>
        <w:autoSpaceDN w:val="0"/>
        <w:adjustRightInd w:val="0"/>
        <w:spacing w:line="240" w:lineRule="auto"/>
        <w:rPr>
          <w:rFonts w:asciiTheme="minorHAnsi" w:hAnsiTheme="minorHAnsi" w:cs="Calibri"/>
          <w:color w:val="000000"/>
          <w:sz w:val="20"/>
          <w:szCs w:val="20"/>
          <w:lang w:eastAsia="pl-PL"/>
        </w:rPr>
      </w:pPr>
    </w:p>
    <w:p w:rsidR="00F74FD7" w:rsidRPr="008407C4" w:rsidRDefault="00F74FD7" w:rsidP="008407C4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Calibri"/>
          <w:b/>
          <w:color w:val="000000"/>
          <w:sz w:val="20"/>
          <w:szCs w:val="20"/>
          <w:u w:val="single"/>
          <w:lang w:eastAsia="pl-PL"/>
        </w:rPr>
        <w:t>Pakiet nr  4</w:t>
      </w:r>
    </w:p>
    <w:p w:rsidR="00B44D80" w:rsidRPr="008407C4" w:rsidRDefault="00B44D80" w:rsidP="008407C4">
      <w:pPr>
        <w:numPr>
          <w:ilvl w:val="0"/>
          <w:numId w:val="16"/>
        </w:numPr>
        <w:shd w:val="clear" w:color="auto" w:fill="FFFFFF"/>
        <w:spacing w:line="240" w:lineRule="auto"/>
        <w:jc w:val="both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Czy Zamawiający w pozycji 1     dopuści  produkt</w:t>
      </w:r>
      <w:r w:rsidRPr="008407C4">
        <w:rPr>
          <w:rFonts w:asciiTheme="minorHAnsi" w:eastAsia="Times New Roman" w:hAnsiTheme="minorHAnsi"/>
          <w:i/>
          <w:iCs/>
          <w:color w:val="333333"/>
          <w:sz w:val="20"/>
          <w:szCs w:val="20"/>
          <w:lang w:eastAsia="pl-PL"/>
        </w:rPr>
        <w:t> 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Citra-HF-Pre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™ stosowany w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hemofiltracji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w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Pre-dylucji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do wszystkich urządzeń CRRT zawierający w swoim składzie cytrynian sodu i elektrolity ( Na 139,9; K 3,0; Mg 0,5; Cl 104,0; Glukoza 5,0; Cytrynian sodu 13,3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mmol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/l ) w opakowaniu 5000ml dostosowany do różnych rodzajów połączeń (nakładka typu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luer-lock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, igła typu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spike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, igła)?</w:t>
      </w:r>
    </w:p>
    <w:p w:rsidR="00B44D80" w:rsidRPr="008407C4" w:rsidRDefault="00B44D80" w:rsidP="008407C4">
      <w:pPr>
        <w:numPr>
          <w:ilvl w:val="0"/>
          <w:numId w:val="16"/>
        </w:numPr>
        <w:shd w:val="clear" w:color="auto" w:fill="FFFFFF"/>
        <w:spacing w:after="280" w:line="240" w:lineRule="auto"/>
        <w:jc w:val="both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Czy Zamawiający w pozycji 2  dopuści  do postępowania  produkt Cytrynian sodu™ 13%( 1000 ml roztworu zawiera: cytrynian sodu bezwodny 132,1g – cytrynian sodu jednowodny 10,36 g – woda do iniekcji wystarczająca na 1000 ml z przeliczeniem zamawianej ilości. Elektrolity (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mmol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/l): Na+ 1352 – Citrate3- 500, stosowany w połączeniu z hemodializą (HD) lub ciągłą terapią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nerkozastępczą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(CRRT) </w:t>
      </w:r>
      <w:r w:rsidRPr="008407C4">
        <w:rPr>
          <w:rFonts w:asciiTheme="minorHAnsi" w:eastAsia="Times New Roman" w:hAnsiTheme="minorHAnsi"/>
          <w:color w:val="000000"/>
          <w:sz w:val="20"/>
          <w:szCs w:val="20"/>
          <w:shd w:val="clear" w:color="auto" w:fill="FFFFFF"/>
          <w:lang w:eastAsia="pl-PL"/>
        </w:rPr>
        <w:t>do prowadzenia plazmaferezy, aferezy LDL</w:t>
      </w:r>
      <w:r w:rsidRPr="008407C4">
        <w:rPr>
          <w:rFonts w:asciiTheme="minorHAnsi" w:eastAsia="Times New Roman" w:hAnsiTheme="minorHAnsi"/>
          <w:color w:val="000000"/>
          <w:sz w:val="20"/>
          <w:szCs w:val="20"/>
          <w:lang w:eastAsia="pl-PL"/>
        </w:rPr>
        <w:t> </w:t>
      </w: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jako sterylny i wolny od pirogenów antykoagulant do systemu pozaustrojowego?</w:t>
      </w:r>
    </w:p>
    <w:p w:rsidR="00994194" w:rsidRPr="008407C4" w:rsidRDefault="00994194" w:rsidP="008407C4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sz w:val="20"/>
          <w:szCs w:val="20"/>
          <w:u w:val="single"/>
        </w:rPr>
        <w:t xml:space="preserve"> na pyt. 4</w:t>
      </w:r>
      <w:r w:rsidR="00E54D4D">
        <w:rPr>
          <w:rFonts w:asciiTheme="minorHAnsi" w:hAnsiTheme="minorHAnsi"/>
          <w:b/>
          <w:sz w:val="20"/>
          <w:szCs w:val="20"/>
          <w:u w:val="single"/>
        </w:rPr>
        <w:t>, ad 1,2</w:t>
      </w:r>
      <w:r w:rsidRPr="008407C4">
        <w:rPr>
          <w:rFonts w:asciiTheme="minorHAnsi" w:hAnsiTheme="minorHAnsi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/>
          <w:b/>
          <w:sz w:val="20"/>
          <w:szCs w:val="20"/>
        </w:rPr>
        <w:t xml:space="preserve">  Zamawiający pozostawia zapisy SIWZ bez zmian.</w:t>
      </w:r>
    </w:p>
    <w:p w:rsidR="00994194" w:rsidRPr="008407C4" w:rsidRDefault="00994194" w:rsidP="008407C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/>
          <w:b/>
          <w:bCs/>
          <w:iCs/>
          <w:sz w:val="20"/>
          <w:szCs w:val="20"/>
          <w:u w:val="single"/>
          <w:lang w:eastAsia="pl-PL"/>
        </w:rPr>
      </w:pP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Pakiet nr 5</w:t>
      </w:r>
    </w:p>
    <w:p w:rsidR="00B44D80" w:rsidRPr="008407C4" w:rsidRDefault="00B44D80" w:rsidP="008407C4">
      <w:pPr>
        <w:pStyle w:val="Akapitzlist"/>
        <w:shd w:val="clear" w:color="auto" w:fill="FFFFFF"/>
        <w:ind w:left="720" w:hanging="360"/>
        <w:jc w:val="both"/>
        <w:rPr>
          <w:rFonts w:asciiTheme="minorHAnsi" w:hAnsiTheme="minorHAnsi"/>
          <w:color w:val="333333"/>
          <w:sz w:val="20"/>
          <w:szCs w:val="20"/>
        </w:rPr>
      </w:pPr>
      <w:r w:rsidRPr="008407C4">
        <w:rPr>
          <w:rFonts w:asciiTheme="minorHAnsi" w:hAnsiTheme="minorHAnsi"/>
          <w:color w:val="333333"/>
          <w:sz w:val="20"/>
          <w:szCs w:val="20"/>
        </w:rPr>
        <w:t>1.      </w:t>
      </w:r>
      <w:r w:rsidRPr="008407C4">
        <w:rPr>
          <w:rStyle w:val="apple-converted-space"/>
          <w:rFonts w:asciiTheme="minorHAnsi" w:eastAsia="Calibri" w:hAnsiTheme="minorHAnsi"/>
          <w:color w:val="333333"/>
          <w:sz w:val="20"/>
          <w:szCs w:val="20"/>
        </w:rPr>
        <w:t> </w:t>
      </w:r>
      <w:r w:rsidRPr="008407C4">
        <w:rPr>
          <w:rFonts w:asciiTheme="minorHAnsi" w:hAnsiTheme="minorHAnsi"/>
          <w:color w:val="333333"/>
          <w:sz w:val="20"/>
          <w:szCs w:val="20"/>
        </w:rPr>
        <w:t> Czy Zamawiający dopuści</w:t>
      </w:r>
      <w:r w:rsidRPr="008407C4">
        <w:rPr>
          <w:rStyle w:val="apple-converted-space"/>
          <w:rFonts w:asciiTheme="minorHAnsi" w:eastAsia="Calibri" w:hAnsiTheme="minorHAnsi"/>
          <w:color w:val="333333"/>
          <w:sz w:val="20"/>
          <w:szCs w:val="20"/>
        </w:rPr>
        <w:t> </w:t>
      </w:r>
      <w:r w:rsidRPr="008407C4">
        <w:rPr>
          <w:rFonts w:asciiTheme="minorHAnsi" w:hAnsiTheme="minorHAnsi"/>
          <w:color w:val="333333"/>
          <w:sz w:val="20"/>
          <w:szCs w:val="20"/>
        </w:rPr>
        <w:t> produkt </w:t>
      </w:r>
      <w:proofErr w:type="spellStart"/>
      <w:r w:rsidRPr="008407C4">
        <w:rPr>
          <w:rFonts w:asciiTheme="minorHAnsi" w:hAnsiTheme="minorHAnsi"/>
          <w:color w:val="333333"/>
          <w:sz w:val="20"/>
          <w:szCs w:val="20"/>
        </w:rPr>
        <w:t>Citra-Lock</w:t>
      </w:r>
      <w:proofErr w:type="spellEnd"/>
      <w:r w:rsidRPr="008407C4">
        <w:rPr>
          <w:rFonts w:asciiTheme="minorHAnsi" w:hAnsiTheme="minorHAnsi"/>
          <w:color w:val="333333"/>
          <w:sz w:val="20"/>
          <w:szCs w:val="20"/>
        </w:rPr>
        <w:t>™ ( cytrynian sodu ) w stężeniu 4% w postaci bezigłowej ampułki x 5ml</w:t>
      </w:r>
      <w:r w:rsidRPr="008407C4">
        <w:rPr>
          <w:rStyle w:val="apple-converted-space"/>
          <w:rFonts w:asciiTheme="minorHAnsi" w:eastAsia="Calibri" w:hAnsiTheme="minorHAnsi"/>
          <w:color w:val="333333"/>
          <w:sz w:val="20"/>
          <w:szCs w:val="20"/>
        </w:rPr>
        <w:t> </w:t>
      </w:r>
      <w:r w:rsidRPr="008407C4">
        <w:rPr>
          <w:rFonts w:asciiTheme="minorHAnsi" w:hAnsiTheme="minorHAnsi"/>
          <w:color w:val="333333"/>
          <w:sz w:val="20"/>
          <w:szCs w:val="20"/>
        </w:rPr>
        <w:t xml:space="preserve"> z przeliczeniem zamawianej ilości z systemem </w:t>
      </w:r>
      <w:proofErr w:type="spellStart"/>
      <w:r w:rsidRPr="008407C4">
        <w:rPr>
          <w:rFonts w:asciiTheme="minorHAnsi" w:hAnsiTheme="minorHAnsi"/>
          <w:color w:val="333333"/>
          <w:sz w:val="20"/>
          <w:szCs w:val="20"/>
        </w:rPr>
        <w:t>Luer</w:t>
      </w:r>
      <w:proofErr w:type="spellEnd"/>
      <w:r w:rsidRPr="008407C4">
        <w:rPr>
          <w:rFonts w:asciiTheme="minorHAnsi" w:hAnsiTheme="minorHAnsi"/>
          <w:color w:val="333333"/>
          <w:sz w:val="20"/>
          <w:szCs w:val="20"/>
        </w:rPr>
        <w:t xml:space="preserve"> Slip, </w:t>
      </w:r>
      <w:proofErr w:type="spellStart"/>
      <w:r w:rsidRPr="008407C4">
        <w:rPr>
          <w:rFonts w:asciiTheme="minorHAnsi" w:hAnsiTheme="minorHAnsi"/>
          <w:color w:val="333333"/>
          <w:sz w:val="20"/>
          <w:szCs w:val="20"/>
        </w:rPr>
        <w:t>Luer</w:t>
      </w:r>
      <w:proofErr w:type="spellEnd"/>
      <w:r w:rsidRPr="008407C4">
        <w:rPr>
          <w:rFonts w:asciiTheme="minorHAnsi" w:hAnsiTheme="minorHAnsi"/>
          <w:color w:val="333333"/>
          <w:sz w:val="20"/>
          <w:szCs w:val="20"/>
        </w:rPr>
        <w:t xml:space="preserve"> Lock skuteczność potwierdzona wieloma badaniami klinicznymi w porównaniu </w:t>
      </w:r>
      <w:r w:rsidRPr="008407C4">
        <w:rPr>
          <w:rStyle w:val="apple-converted-space"/>
          <w:rFonts w:asciiTheme="minorHAnsi" w:eastAsia="Calibri" w:hAnsiTheme="minorHAnsi"/>
          <w:color w:val="333333"/>
          <w:sz w:val="20"/>
          <w:szCs w:val="20"/>
        </w:rPr>
        <w:t> </w:t>
      </w:r>
      <w:r w:rsidRPr="008407C4">
        <w:rPr>
          <w:rFonts w:asciiTheme="minorHAnsi" w:hAnsiTheme="minorHAnsi"/>
          <w:color w:val="333333"/>
          <w:sz w:val="20"/>
          <w:szCs w:val="20"/>
        </w:rPr>
        <w:t xml:space="preserve">do Heparyny, stosowany w celu utrzymania prawidłowej drożności cewnika i/lub portu dożylnego ograniczając krwawienia ( pacjenci z HIT ), zastosowanie środków </w:t>
      </w:r>
      <w:proofErr w:type="spellStart"/>
      <w:r w:rsidRPr="008407C4">
        <w:rPr>
          <w:rFonts w:asciiTheme="minorHAnsi" w:hAnsiTheme="minorHAnsi"/>
          <w:color w:val="333333"/>
          <w:sz w:val="20"/>
          <w:szCs w:val="20"/>
        </w:rPr>
        <w:t>trombolitycznych</w:t>
      </w:r>
      <w:proofErr w:type="spellEnd"/>
      <w:r w:rsidRPr="008407C4">
        <w:rPr>
          <w:rFonts w:asciiTheme="minorHAnsi" w:hAnsiTheme="minorHAnsi"/>
          <w:color w:val="333333"/>
          <w:sz w:val="20"/>
          <w:szCs w:val="20"/>
        </w:rPr>
        <w:t xml:space="preserve"> jako skuteczne i bezpieczne rozwiązanie przeciwzakrzepowe i przeciwbakteryjne?</w:t>
      </w:r>
    </w:p>
    <w:p w:rsidR="00B44D80" w:rsidRPr="008407C4" w:rsidRDefault="00B44D80" w:rsidP="008407C4">
      <w:pPr>
        <w:pStyle w:val="Akapitzlist"/>
        <w:shd w:val="clear" w:color="auto" w:fill="FFFFFF"/>
        <w:ind w:left="720" w:hanging="360"/>
        <w:jc w:val="both"/>
        <w:rPr>
          <w:rFonts w:asciiTheme="minorHAnsi" w:hAnsiTheme="minorHAnsi"/>
          <w:color w:val="333333"/>
          <w:sz w:val="20"/>
          <w:szCs w:val="20"/>
        </w:rPr>
      </w:pPr>
      <w:r w:rsidRPr="008407C4">
        <w:rPr>
          <w:rFonts w:asciiTheme="minorHAnsi" w:hAnsiTheme="minorHAnsi"/>
          <w:color w:val="333333"/>
          <w:sz w:val="20"/>
          <w:szCs w:val="20"/>
        </w:rPr>
        <w:t>2.      </w:t>
      </w:r>
      <w:r w:rsidRPr="008407C4">
        <w:rPr>
          <w:rStyle w:val="apple-converted-space"/>
          <w:rFonts w:asciiTheme="minorHAnsi" w:eastAsia="Calibri" w:hAnsiTheme="minorHAnsi"/>
          <w:color w:val="333333"/>
          <w:sz w:val="20"/>
          <w:szCs w:val="20"/>
        </w:rPr>
        <w:t> </w:t>
      </w:r>
      <w:r w:rsidRPr="008407C4">
        <w:rPr>
          <w:rFonts w:asciiTheme="minorHAnsi" w:hAnsiTheme="minorHAnsi"/>
          <w:color w:val="333333"/>
          <w:sz w:val="20"/>
          <w:szCs w:val="20"/>
        </w:rPr>
        <w:t>Czy Zamawiający dopuści produkt pakowany po 20 szt. w kartonie z przeliczeniem zamawianej ilości?</w:t>
      </w:r>
      <w:r w:rsidRPr="008407C4">
        <w:rPr>
          <w:rStyle w:val="apple-converted-space"/>
          <w:rFonts w:asciiTheme="minorHAnsi" w:eastAsia="Calibri" w:hAnsiTheme="minorHAnsi"/>
          <w:color w:val="333333"/>
          <w:sz w:val="20"/>
          <w:szCs w:val="20"/>
        </w:rPr>
        <w:t> </w:t>
      </w:r>
      <w:r w:rsidRPr="008407C4">
        <w:rPr>
          <w:rFonts w:asciiTheme="minorHAnsi" w:hAnsiTheme="minorHAnsi"/>
          <w:color w:val="333333"/>
          <w:sz w:val="20"/>
          <w:szCs w:val="20"/>
        </w:rPr>
        <w:t> </w:t>
      </w:r>
    </w:p>
    <w:p w:rsidR="00994194" w:rsidRPr="008407C4" w:rsidRDefault="00994194" w:rsidP="008407C4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sz w:val="20"/>
          <w:szCs w:val="20"/>
          <w:u w:val="single"/>
        </w:rPr>
        <w:t xml:space="preserve"> na pyt.5</w:t>
      </w:r>
      <w:r w:rsidR="00E54D4D">
        <w:rPr>
          <w:rFonts w:asciiTheme="minorHAnsi" w:hAnsiTheme="minorHAnsi"/>
          <w:b/>
          <w:sz w:val="20"/>
          <w:szCs w:val="20"/>
          <w:u w:val="single"/>
        </w:rPr>
        <w:t>, ad 1,2</w:t>
      </w:r>
      <w:r w:rsidRPr="008407C4">
        <w:rPr>
          <w:rFonts w:asciiTheme="minorHAnsi" w:hAnsiTheme="minorHAnsi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/>
          <w:b/>
          <w:sz w:val="20"/>
          <w:szCs w:val="20"/>
        </w:rPr>
        <w:t xml:space="preserve">  Zamawiający pozostawia zapisy SIWZ bez zmian.</w:t>
      </w: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sz w:val="20"/>
          <w:szCs w:val="20"/>
        </w:rPr>
      </w:pP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Pakiet nr 6</w:t>
      </w:r>
    </w:p>
    <w:p w:rsidR="00B44D80" w:rsidRPr="008407C4" w:rsidRDefault="00B44D80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b/>
          <w:bCs/>
          <w:color w:val="333333"/>
          <w:sz w:val="20"/>
          <w:szCs w:val="20"/>
          <w:lang w:eastAsia="pl-PL"/>
        </w:rPr>
        <w:t>Dotyczy: </w:t>
      </w:r>
      <w:proofErr w:type="spellStart"/>
      <w:r w:rsidRPr="008407C4">
        <w:rPr>
          <w:rFonts w:asciiTheme="minorHAnsi" w:eastAsia="Times New Roman" w:hAnsiTheme="minorHAnsi"/>
          <w:b/>
          <w:bCs/>
          <w:color w:val="000000"/>
          <w:sz w:val="20"/>
          <w:szCs w:val="20"/>
          <w:lang w:eastAsia="pl-PL"/>
        </w:rPr>
        <w:t>WCPiT</w:t>
      </w:r>
      <w:proofErr w:type="spellEnd"/>
      <w:r w:rsidRPr="008407C4">
        <w:rPr>
          <w:rFonts w:asciiTheme="minorHAnsi" w:eastAsia="Times New Roman" w:hAnsiTheme="minorHAnsi"/>
          <w:b/>
          <w:bCs/>
          <w:color w:val="000000"/>
          <w:sz w:val="20"/>
          <w:szCs w:val="20"/>
          <w:lang w:eastAsia="pl-PL"/>
        </w:rPr>
        <w:t>/EA/381-  08 /2017, Pakiet nr 48 LEKI  OGÓLNE, ilość pozycji 71, pozycja 19</w:t>
      </w:r>
    </w:p>
    <w:p w:rsidR="00B44D80" w:rsidRPr="008407C4" w:rsidRDefault="00B44D80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000000"/>
          <w:sz w:val="20"/>
          <w:szCs w:val="20"/>
          <w:lang w:eastAsia="pl-PL"/>
        </w:rPr>
        <w:t> </w:t>
      </w:r>
    </w:p>
    <w:p w:rsidR="00B44D80" w:rsidRPr="008407C4" w:rsidRDefault="00B44D80" w:rsidP="008407C4">
      <w:pPr>
        <w:shd w:val="clear" w:color="auto" w:fill="FFFFFF"/>
        <w:spacing w:after="24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Czy Zamawiający dopuści produkt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Citra-Flow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™ ( cytrynian sodu ) w stężeniu 4% w postaci ampułko-strzykawki x 3ml (objętość 10ml) zgodna z Rekomendacją obsługi portu dożylnego stosowany w celu utrzymania prawidłowej drożności dostępu naczyniowego o najwyższej czystości chemicznej brak działań niepożądanych do przepłukiwania dostępu naczyniowego zapewnia skuteczne i bezpieczne rozwiązanie przeciwzakrzepowe oraz przeciwbakteryjne potwierdzone klinicznie. Nr kat.: 38553. Opakowanie zawiera pojedynczo pakowane ampułko-strzykawki w ilości 100 sztuk z przeliczeniem zamawianej ilości.  Producentem ww. produktu jest firma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MedXL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Europe BV Holandia</w:t>
      </w:r>
    </w:p>
    <w:p w:rsidR="00B44D80" w:rsidRPr="008407C4" w:rsidRDefault="00B44D80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b/>
          <w:bCs/>
          <w:color w:val="333333"/>
          <w:sz w:val="20"/>
          <w:szCs w:val="20"/>
          <w:lang w:eastAsia="pl-PL"/>
        </w:rPr>
        <w:t>Dotyczy: </w:t>
      </w:r>
      <w:proofErr w:type="spellStart"/>
      <w:r w:rsidRPr="008407C4">
        <w:rPr>
          <w:rFonts w:asciiTheme="minorHAnsi" w:eastAsia="Times New Roman" w:hAnsiTheme="minorHAnsi"/>
          <w:b/>
          <w:bCs/>
          <w:color w:val="000000"/>
          <w:sz w:val="20"/>
          <w:szCs w:val="20"/>
          <w:lang w:eastAsia="pl-PL"/>
        </w:rPr>
        <w:t>WCPiT</w:t>
      </w:r>
      <w:proofErr w:type="spellEnd"/>
      <w:r w:rsidRPr="008407C4">
        <w:rPr>
          <w:rFonts w:asciiTheme="minorHAnsi" w:eastAsia="Times New Roman" w:hAnsiTheme="minorHAnsi"/>
          <w:b/>
          <w:bCs/>
          <w:color w:val="000000"/>
          <w:sz w:val="20"/>
          <w:szCs w:val="20"/>
          <w:lang w:eastAsia="pl-PL"/>
        </w:rPr>
        <w:t>/EA/381-  08 /2017, Pakiet nr 91 WYROBY MEDYCZNE, ilość pozycji 1, pozycja 1</w:t>
      </w:r>
    </w:p>
    <w:p w:rsidR="00B44D80" w:rsidRPr="008407C4" w:rsidRDefault="00B44D80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000000"/>
          <w:sz w:val="20"/>
          <w:szCs w:val="20"/>
          <w:lang w:eastAsia="pl-PL"/>
        </w:rPr>
        <w:t> </w:t>
      </w:r>
    </w:p>
    <w:p w:rsidR="00B44D80" w:rsidRPr="008407C4" w:rsidRDefault="00B44D80" w:rsidP="008407C4">
      <w:pPr>
        <w:shd w:val="clear" w:color="auto" w:fill="FFFFFF"/>
        <w:spacing w:after="24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Czy Zamawiający dopuści produkt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Citra-Flow™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( cytrynian sodu ) w stężeniu 46,7% w postaci ampułko-strzykawki 3ml x 2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Twin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Pack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( łączna objętość 6ml) o najwyższej czystości chemicznej brak działań niepożądanych zapewnia skuteczne i bezpieczne rozwiązanie przeciwzakrzepowe oraz przeciwbakteryjne potwierdzone klinicznie. Objętość ampułko-strzykawki zapewnia wypełnienie każdej długości kanału cewnika. Nr kat.:38143-1. Opakowanie typu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Twin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Pack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zawiera dwie ampułko-strzykawki w ilości 100 sztuk z przeliczeniem zamawianej ilości.  Producentem ww. produktu jest firma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MedXL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Europe BV Holandia.</w:t>
      </w:r>
    </w:p>
    <w:p w:rsidR="00B44D80" w:rsidRPr="008407C4" w:rsidRDefault="00B44D80" w:rsidP="008407C4">
      <w:pPr>
        <w:shd w:val="clear" w:color="auto" w:fill="FFFFFF"/>
        <w:spacing w:after="24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b/>
          <w:bCs/>
          <w:i/>
          <w:iCs/>
          <w:color w:val="333333"/>
          <w:sz w:val="20"/>
          <w:szCs w:val="20"/>
          <w:lang w:eastAsia="pl-PL"/>
        </w:rPr>
        <w:t>Czy Zamawiający wyrazi zgodę na wycenę 1ml cytrynianu sodu w stężeniu 46,7% ze względu na większą łączna objętość ampułko-strzykawek, która wynosi 6ml.</w:t>
      </w:r>
    </w:p>
    <w:p w:rsidR="00B44D80" w:rsidRPr="008407C4" w:rsidRDefault="00B44D80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000000"/>
          <w:sz w:val="20"/>
          <w:szCs w:val="20"/>
          <w:lang w:eastAsia="pl-PL"/>
        </w:rPr>
        <w:t>Czy Zamawiający wyrazi zgodę na wydzielenie pozycji 19 z Pakietu nr 48 Leki Ogólne i stworzy osobny pakiet?</w:t>
      </w:r>
    </w:p>
    <w:p w:rsidR="00B44D80" w:rsidRPr="008407C4" w:rsidRDefault="00B44D80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000000"/>
          <w:sz w:val="20"/>
          <w:szCs w:val="20"/>
          <w:lang w:eastAsia="pl-PL"/>
        </w:rPr>
        <w:t>Wydzielenie pozycji stworzy Zamawiającemu możliwości na składania ofert konkurencyjnych co przełoży się na efektywne zarządzanie środkami publicznymi.</w:t>
      </w:r>
    </w:p>
    <w:p w:rsidR="00994194" w:rsidRPr="008407C4" w:rsidRDefault="0005420E" w:rsidP="008407C4">
      <w:pPr>
        <w:spacing w:line="240" w:lineRule="auto"/>
        <w:rPr>
          <w:rFonts w:asciiTheme="minorHAnsi" w:hAnsiTheme="minorHAnsi" w:cs="Arial"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 na pyt 6</w:t>
      </w:r>
      <w:r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: </w:t>
      </w:r>
      <w:r w:rsidR="00B44D80"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E54D4D" w:rsidRDefault="00E54D4D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lastRenderedPageBreak/>
        <w:t>Pytanie nr 7</w:t>
      </w:r>
    </w:p>
    <w:p w:rsidR="0009201B" w:rsidRPr="008407C4" w:rsidRDefault="0009201B" w:rsidP="008407C4">
      <w:pPr>
        <w:spacing w:line="240" w:lineRule="auto"/>
        <w:rPr>
          <w:rFonts w:asciiTheme="minorHAnsi" w:hAnsiTheme="minorHAnsi" w:cs="Calibri"/>
          <w:sz w:val="20"/>
          <w:szCs w:val="20"/>
        </w:rPr>
      </w:pPr>
      <w:r w:rsidRPr="008407C4">
        <w:rPr>
          <w:rFonts w:asciiTheme="minorHAnsi" w:hAnsiTheme="minorHAnsi" w:cs="Calibri"/>
          <w:b/>
          <w:sz w:val="20"/>
          <w:szCs w:val="20"/>
        </w:rPr>
        <w:t>Pakiet nr 88, pozycja 1</w:t>
      </w:r>
      <w:r w:rsidR="00E54D4D">
        <w:rPr>
          <w:rFonts w:asciiTheme="minorHAnsi" w:hAnsiTheme="minorHAnsi" w:cs="Calibri"/>
          <w:b/>
          <w:sz w:val="20"/>
          <w:szCs w:val="20"/>
        </w:rPr>
        <w:t xml:space="preserve"> </w:t>
      </w:r>
      <w:r w:rsidRPr="008407C4">
        <w:rPr>
          <w:rFonts w:asciiTheme="minorHAnsi" w:hAnsiTheme="minorHAnsi" w:cs="Calibri"/>
          <w:sz w:val="20"/>
          <w:szCs w:val="20"/>
        </w:rPr>
        <w:t>Czy Zamawiający dopuści równoważny pod względem zastosowania i składu żel o pojemności wyrażonej w mililitrach – 6 ml (w przeliczeniu 6,18 grama), lub 12ml (w przeliczeniu 12,36 grama) w ampułkostrzykawce ze skalą?</w:t>
      </w:r>
    </w:p>
    <w:p w:rsidR="00994194" w:rsidRPr="008407C4" w:rsidRDefault="00994194" w:rsidP="008407C4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sz w:val="20"/>
          <w:szCs w:val="20"/>
          <w:u w:val="single"/>
        </w:rPr>
        <w:t xml:space="preserve"> na pyt 7</w:t>
      </w:r>
      <w:r w:rsidRPr="008407C4">
        <w:rPr>
          <w:rFonts w:asciiTheme="minorHAnsi" w:hAnsiTheme="minorHAnsi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/>
          <w:b/>
          <w:sz w:val="20"/>
          <w:szCs w:val="20"/>
        </w:rPr>
        <w:t xml:space="preserve">  Zamawiający pozostawia zapisy SIWZ bez zmian.</w:t>
      </w:r>
    </w:p>
    <w:p w:rsidR="00994194" w:rsidRPr="008407C4" w:rsidRDefault="00994194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Pakiet nr 8</w:t>
      </w:r>
    </w:p>
    <w:p w:rsidR="00190598" w:rsidRPr="008407C4" w:rsidRDefault="00923C8C" w:rsidP="008407C4">
      <w:pPr>
        <w:spacing w:after="0" w:line="240" w:lineRule="auto"/>
        <w:rPr>
          <w:rFonts w:asciiTheme="minorHAnsi" w:eastAsia="Times New Roman" w:hAnsiTheme="minorHAnsi"/>
          <w:color w:val="000000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noProof/>
          <w:color w:val="000000"/>
          <w:sz w:val="20"/>
          <w:szCs w:val="20"/>
          <w:lang w:eastAsia="pl-PL"/>
        </w:rPr>
        <w:drawing>
          <wp:inline distT="0" distB="0" distL="0" distR="0">
            <wp:extent cx="6400800" cy="742950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598" w:rsidRPr="008407C4" w:rsidRDefault="00190598" w:rsidP="008407C4">
      <w:pPr>
        <w:spacing w:after="0" w:line="240" w:lineRule="auto"/>
        <w:rPr>
          <w:rFonts w:asciiTheme="minorHAnsi" w:eastAsia="Times New Roman" w:hAnsiTheme="minorHAnsi"/>
          <w:color w:val="000000"/>
          <w:sz w:val="20"/>
          <w:szCs w:val="20"/>
          <w:lang w:eastAsia="pl-PL"/>
        </w:rPr>
      </w:pPr>
    </w:p>
    <w:p w:rsidR="00994194" w:rsidRPr="008407C4" w:rsidRDefault="00994194" w:rsidP="008407C4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/>
          <w:b/>
          <w:sz w:val="20"/>
          <w:szCs w:val="20"/>
          <w:u w:val="single"/>
        </w:rPr>
        <w:t>Odpowiedź</w:t>
      </w:r>
      <w:r w:rsidR="00841716" w:rsidRPr="008407C4">
        <w:rPr>
          <w:rFonts w:asciiTheme="minorHAnsi" w:hAnsiTheme="minorHAnsi"/>
          <w:b/>
          <w:sz w:val="20"/>
          <w:szCs w:val="20"/>
          <w:u w:val="single"/>
        </w:rPr>
        <w:t xml:space="preserve"> na pyt. 8</w:t>
      </w:r>
      <w:r w:rsidRPr="008407C4">
        <w:rPr>
          <w:rFonts w:asciiTheme="minorHAnsi" w:hAnsiTheme="minorHAnsi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/>
          <w:b/>
          <w:sz w:val="20"/>
          <w:szCs w:val="20"/>
        </w:rPr>
        <w:t xml:space="preserve">  Zamawiający pozostawia zapisy SIWZ bez zmian.</w:t>
      </w:r>
    </w:p>
    <w:p w:rsidR="00994194" w:rsidRPr="008407C4" w:rsidRDefault="00994194" w:rsidP="008407C4">
      <w:pPr>
        <w:shd w:val="clear" w:color="auto" w:fill="FFFFFF"/>
        <w:spacing w:line="240" w:lineRule="auto"/>
        <w:jc w:val="both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</w:p>
    <w:p w:rsidR="00F74FD7" w:rsidRPr="008407C4" w:rsidRDefault="00F74FD7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Pytanie nr 9 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Theme="minorHAnsi" w:hAnsiTheme="minorHAnsi" w:cs="Helv"/>
          <w:color w:val="000000"/>
          <w:sz w:val="20"/>
          <w:szCs w:val="20"/>
        </w:rPr>
      </w:pPr>
      <w:r w:rsidRPr="008407C4">
        <w:rPr>
          <w:rFonts w:asciiTheme="minorHAnsi" w:hAnsiTheme="minorHAnsi" w:cs="Helv"/>
          <w:color w:val="000000"/>
          <w:sz w:val="20"/>
          <w:szCs w:val="20"/>
        </w:rPr>
        <w:t xml:space="preserve">Czy Zamawiający wyrazi zgodę na zaoferowanie w pakiecie 1 pozycji 32,34 produktu leczniczego </w:t>
      </w:r>
      <w:proofErr w:type="spellStart"/>
      <w:r w:rsidRPr="008407C4">
        <w:rPr>
          <w:rFonts w:asciiTheme="minorHAnsi" w:hAnsiTheme="minorHAnsi" w:cs="Helv"/>
          <w:color w:val="000000"/>
          <w:sz w:val="20"/>
          <w:szCs w:val="20"/>
        </w:rPr>
        <w:t>Levofloxacin</w:t>
      </w:r>
      <w:proofErr w:type="spellEnd"/>
      <w:r w:rsidRPr="008407C4">
        <w:rPr>
          <w:rFonts w:asciiTheme="minorHAnsi" w:hAnsiTheme="minorHAnsi" w:cs="Helv"/>
          <w:color w:val="000000"/>
          <w:sz w:val="20"/>
          <w:szCs w:val="20"/>
        </w:rPr>
        <w:t xml:space="preserve"> w opakowaniu typu flakon z dwoma różnymi portami (</w:t>
      </w:r>
      <w:proofErr w:type="spellStart"/>
      <w:r w:rsidRPr="008407C4">
        <w:rPr>
          <w:rFonts w:asciiTheme="minorHAnsi" w:hAnsiTheme="minorHAnsi" w:cs="Helv"/>
          <w:color w:val="000000"/>
          <w:sz w:val="20"/>
          <w:szCs w:val="20"/>
        </w:rPr>
        <w:t>KabiPac</w:t>
      </w:r>
      <w:proofErr w:type="spellEnd"/>
      <w:r w:rsidRPr="008407C4">
        <w:rPr>
          <w:rFonts w:asciiTheme="minorHAnsi" w:hAnsiTheme="minorHAnsi" w:cs="Helv"/>
          <w:color w:val="000000"/>
          <w:sz w:val="20"/>
          <w:szCs w:val="20"/>
        </w:rPr>
        <w:t>) pakowanego po 10 szt.?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color w:val="000000"/>
          <w:sz w:val="20"/>
          <w:szCs w:val="20"/>
        </w:rPr>
      </w:pPr>
      <w:r w:rsidRPr="008407C4">
        <w:rPr>
          <w:rFonts w:asciiTheme="minorHAnsi" w:hAnsiTheme="minorHAnsi" w:cs="Helv"/>
          <w:color w:val="000000"/>
          <w:sz w:val="20"/>
          <w:szCs w:val="20"/>
        </w:rPr>
        <w:t>Czy Zamawiający wyrazi zgodę na wydzielenie z pakietu 1 pozycji 17,18,32,34? Utworzenie nowego pakietu pozwoli na przystąpienie większej liczbie oferentów, a co za tym idzie uzyskanie lepszej cenowo oferty na czym Zamawiającemu zależy.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 xml:space="preserve">Czy Zamawiający wyrazi zgodę na zaoferowanie w pakiecie 8 produktu leczniczego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Linezolidum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2mg/ml w opakowaniu typu flakon z dwoma różnymi portami (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KabiPac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>)?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 xml:space="preserve">Czy Zamawiający wyrazi zgodę na zaoferowanie w pakiecie 14 produktu leczniczego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Ceftazidime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2g w opakowaniu typu butelka szklana?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color w:val="000000"/>
          <w:sz w:val="20"/>
          <w:szCs w:val="20"/>
        </w:rPr>
      </w:pPr>
      <w:r w:rsidRPr="008407C4">
        <w:rPr>
          <w:rFonts w:asciiTheme="minorHAnsi" w:hAnsiTheme="minorHAnsi" w:cs="Helv"/>
          <w:color w:val="000000"/>
          <w:sz w:val="20"/>
          <w:szCs w:val="20"/>
        </w:rPr>
        <w:t>Czy Zamawiający wyrazi zgodę na wydzielenie z pakietu 48 pozycji 55? Utworzenie nowego pakietu pozwoli na przystąpienie większej liczbie oferentów, a co za tym idzie uzyskanie lepszej cenowo oferty na czym Zamawiającemu zależy.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Zamawiający wyrazi zgodę na zaoferowanie w pakiecie 50 pozycji 186 produktu leczniczego</w:t>
      </w:r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Potassium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chloride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15% -20ml w opakowaniu typu ampułka z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Luer-Lock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pakowanego po 20 szt.?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Zamawiający wyrazi zgodę na wydzielenie z pakietu 50 pozycji 186,187,211? Utworzenie nowego pakietu pozwoli na przystąpienie większej liczbie oferentów, a co za tym idzie uzyskanie lepszej cenowo oferty na czym Zamawiającemu zależy.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Zamawiający wyrazi zgodę na wydzielenie z pakietu 55 pozycji 1,2? Utworzenie nowego pakietu pozwoli na przystąpienie większej liczbie oferentów, a co za tym idzie uzyskanie lepszej cenowo oferty na czym Zamawiającemu zależy.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Zamawiający wyrazi zgodę na wydzielenie z pakietu 101 pozycji 6? Utworzenie nowego pakietu pozwoli na przystąpienie większej liczbie oferentów, a co za tym idzie uzyskanie lepszej cenowo oferty na czym Zamawiającemu zależy.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Zamawiający w pakiecie 102 dopuści płyny infuzyjne z dwoma niezależnymi, jałowymi, różnej wielkości portami z cechami bezpieczeństwa:</w:t>
      </w:r>
    </w:p>
    <w:p w:rsidR="00190598" w:rsidRPr="008407C4" w:rsidRDefault="00190598" w:rsidP="008407C4">
      <w:pPr>
        <w:spacing w:line="240" w:lineRule="auto"/>
        <w:ind w:left="372" w:firstLine="708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-Butelka stojąca – wygoda stosowania i przechowywania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-Dwa różnej wielkości port oznaczone strzałkami - eliminacja możliwości popełnienia błędu i niewłaściwego wykorzystania portu. Większy służy do przyłączenia zestawu do infuzji, mniejszy do dodania leku, zarówno przed infuzją, jak i w trakcie infuzji.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-Jałowe porty – nie wymagają dezynfekcji przed pierwszym użyciem, bezpieczeństwo infuzji, szybkość i oszczędność pracy personelu co zmniejsza koszty użytkowania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-Kolorowe etykiety – zmniejszenie ryzyka pomyłki i podaży niewłaściwego leku, łatwość identyfikacji leku</w:t>
      </w:r>
      <w:r w:rsidRPr="008407C4">
        <w:rPr>
          <w:rFonts w:asciiTheme="minorHAnsi" w:hAnsiTheme="minorHAnsi" w:cs="Helv"/>
          <w:sz w:val="20"/>
          <w:szCs w:val="20"/>
        </w:rPr>
        <w:br/>
        <w:t>-Samouszczelniające się membrany portów – brak wycieku, płynu, praca w systemie bezpiecznym, szczelność opakowania i jałowość leku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-Skala opakowania od 100 do 1000, umożliwia przebieg i kontrolę tempa infuzji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-Dodatkowa przestrzeń na dodanie leku  opakowaniach od 100,250,500 i 100,ml.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-Dzięki zastosowaniu materiału klasy medycznej i płaskiemu kształtowi butelka samoistnie opróżnia się w trakcie infuzji bez potrzeby dodatkowego napowietrzania.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lastRenderedPageBreak/>
        <w:t>-Zgodność ze wszystkimi zestawami do infuzji spełniającymi standardy ISO</w:t>
      </w:r>
    </w:p>
    <w:p w:rsidR="00190598" w:rsidRPr="008407C4" w:rsidRDefault="00190598" w:rsidP="008407C4">
      <w:pPr>
        <w:spacing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Wyrażenie zgody na powyższe pozwoli na startowanie w przetargu większej liczbie wykonawców, a przez to Zamawiający uzyska najbardziej korzystną ofertę cenową. Pozostawienie pakietu w formie jaką opisał Zamawiający spowoduje, iż w tej części zamówienia wystartuje tylko jeden dostawca, świadomy braku jakiejkolwiek konkurencji w niniejszym postępowaniu, złoży ofertę zdecydowanie mniej korzystną cenowo. W konsekwencji, z braku innych uczestników postępowania przetargowego Zamawiający przeznaczy na zamówienie większą ilość środków pieniężnych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 xml:space="preserve">Czy zamawiający wyrazi zgodę na zaoferowanie w pakiecie 102 pozycji 11,12,13 płynu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wieloelektrolitowego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Optilyte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, spełniającego najnowsze Polskie Wytyczne Okołooperacyjnego Leczenia Płynami opracowane w ramach prac Sekcji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Płynoterapii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i Hemostazy Polskiego Towarzystwa Anestezjologii i Intensywnej Terapii, według których należy: stosować zbilansowane krystaloidów zawierające w swoim składzie wszystkie jony w stosunku zbliżonym do zawartości w osoczu (zawartość jonu chloru poniżej 110mEq/l) oraz </w:t>
      </w:r>
      <w:proofErr w:type="spellStart"/>
      <w:r w:rsidRPr="008407C4">
        <w:rPr>
          <w:rFonts w:asciiTheme="minorHAnsi" w:hAnsiTheme="minorHAnsi" w:cs="Helv"/>
          <w:sz w:val="20"/>
          <w:szCs w:val="20"/>
        </w:rPr>
        <w:t>osmolarności</w:t>
      </w:r>
      <w:proofErr w:type="spellEnd"/>
      <w:r w:rsidRPr="008407C4">
        <w:rPr>
          <w:rFonts w:asciiTheme="minorHAnsi" w:hAnsiTheme="minorHAnsi" w:cs="Helv"/>
          <w:sz w:val="20"/>
          <w:szCs w:val="20"/>
        </w:rPr>
        <w:t xml:space="preserve"> w granicach 280-295mosm/l?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Zamawiający wyrazi zgodę na wydzielenie z pakietu 102 pozycji 11,12,13? Utworzenie nowego pakietu pozwoli na przystąpienie większej liczbie oferentów, a co za tym idzie uzyskanie lepszej cenowo oferty na czym Zamawiającemu zależy.</w:t>
      </w:r>
    </w:p>
    <w:p w:rsidR="00190598" w:rsidRPr="008407C4" w:rsidRDefault="00190598" w:rsidP="008407C4">
      <w:pPr>
        <w:numPr>
          <w:ilvl w:val="0"/>
          <w:numId w:val="1"/>
        </w:numPr>
        <w:spacing w:after="0" w:line="240" w:lineRule="auto"/>
        <w:ind w:left="1080"/>
        <w:rPr>
          <w:rFonts w:asciiTheme="minorHAnsi" w:hAnsiTheme="minorHAnsi" w:cs="Helv"/>
          <w:sz w:val="20"/>
          <w:szCs w:val="20"/>
        </w:rPr>
      </w:pPr>
      <w:r w:rsidRPr="008407C4">
        <w:rPr>
          <w:rFonts w:asciiTheme="minorHAnsi" w:hAnsiTheme="minorHAnsi" w:cs="Helv"/>
          <w:sz w:val="20"/>
          <w:szCs w:val="20"/>
        </w:rPr>
        <w:t>Czy Zmawiający w pakiecie 118 w pozycji 1 dopuści emulsja tłuszczowa 10% w worku 500 ml?</w:t>
      </w:r>
    </w:p>
    <w:p w:rsidR="00F74FD7" w:rsidRPr="008407C4" w:rsidRDefault="00190598" w:rsidP="008407C4">
      <w:pPr>
        <w:spacing w:line="240" w:lineRule="auto"/>
        <w:ind w:left="708" w:firstLine="372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Helv"/>
          <w:sz w:val="20"/>
          <w:szCs w:val="20"/>
        </w:rPr>
        <w:br/>
      </w:r>
      <w:r w:rsidR="00994194" w:rsidRPr="008407C4">
        <w:rPr>
          <w:rFonts w:asciiTheme="minorHAnsi" w:hAnsiTheme="minorHAnsi" w:cs="Arial"/>
          <w:b/>
          <w:sz w:val="20"/>
          <w:szCs w:val="20"/>
          <w:u w:val="single"/>
        </w:rPr>
        <w:t>Odpowiedzi</w:t>
      </w:r>
      <w:r w:rsidR="00841716"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 na pyt. 9</w:t>
      </w:r>
      <w:r w:rsidR="00994194" w:rsidRPr="008407C4">
        <w:rPr>
          <w:rFonts w:asciiTheme="minorHAnsi" w:hAnsiTheme="minorHAnsi" w:cs="Arial"/>
          <w:b/>
          <w:sz w:val="20"/>
          <w:szCs w:val="20"/>
          <w:u w:val="single"/>
        </w:rPr>
        <w:t>:</w:t>
      </w:r>
    </w:p>
    <w:p w:rsidR="00F74FD7" w:rsidRPr="008407C4" w:rsidRDefault="00994194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</w:rPr>
        <w:t>Ad</w:t>
      </w:r>
      <w:r w:rsidR="00190598"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 w:cs="Arial"/>
          <w:b/>
          <w:sz w:val="20"/>
          <w:szCs w:val="20"/>
        </w:rPr>
        <w:t>1,</w:t>
      </w:r>
      <w:r w:rsidR="00190598" w:rsidRPr="008407C4">
        <w:rPr>
          <w:rFonts w:asciiTheme="minorHAnsi" w:hAnsiTheme="minorHAnsi" w:cs="Arial"/>
          <w:b/>
          <w:sz w:val="20"/>
          <w:szCs w:val="20"/>
        </w:rPr>
        <w:t>3,</w:t>
      </w:r>
      <w:r w:rsidR="0005420E" w:rsidRPr="008407C4">
        <w:rPr>
          <w:rFonts w:asciiTheme="minorHAnsi" w:hAnsiTheme="minorHAnsi" w:cs="Arial"/>
          <w:b/>
          <w:sz w:val="20"/>
          <w:szCs w:val="20"/>
        </w:rPr>
        <w:t>4</w:t>
      </w:r>
      <w:r w:rsidRPr="008407C4">
        <w:rPr>
          <w:rFonts w:asciiTheme="minorHAnsi" w:hAnsiTheme="minorHAnsi" w:cs="Arial"/>
          <w:b/>
          <w:sz w:val="20"/>
          <w:szCs w:val="20"/>
        </w:rPr>
        <w:t>– Tak, Zamawiający dopuszcza.</w:t>
      </w:r>
    </w:p>
    <w:p w:rsidR="0005420E" w:rsidRPr="008407C4" w:rsidRDefault="0005420E" w:rsidP="008407C4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</w:rPr>
        <w:t>Ad 2,5,6,7,8</w:t>
      </w:r>
      <w:r w:rsidR="00190598" w:rsidRPr="008407C4">
        <w:rPr>
          <w:rFonts w:asciiTheme="minorHAnsi" w:hAnsiTheme="minorHAnsi" w:cs="Arial"/>
          <w:b/>
          <w:sz w:val="20"/>
          <w:szCs w:val="20"/>
        </w:rPr>
        <w:t>,9,10,11,12,13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- </w:t>
      </w:r>
      <w:r w:rsidRPr="008407C4">
        <w:rPr>
          <w:rFonts w:asciiTheme="minorHAnsi" w:hAnsiTheme="minorHAnsi"/>
          <w:b/>
          <w:sz w:val="20"/>
          <w:szCs w:val="20"/>
        </w:rPr>
        <w:t>Zamawiający nie wyraża zgody i  pozostawia zapisy SIWZ bez zmian.</w:t>
      </w:r>
    </w:p>
    <w:p w:rsidR="00841716" w:rsidRPr="008407C4" w:rsidRDefault="00841716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841716" w:rsidRPr="008407C4" w:rsidRDefault="00841716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10</w:t>
      </w:r>
    </w:p>
    <w:p w:rsidR="0019451E" w:rsidRPr="008407C4" w:rsidRDefault="00923C8C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noProof/>
          <w:sz w:val="20"/>
          <w:szCs w:val="20"/>
          <w:lang w:eastAsia="pl-PL"/>
        </w:rPr>
        <w:drawing>
          <wp:inline distT="0" distB="0" distL="0" distR="0">
            <wp:extent cx="6172200" cy="230505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51E" w:rsidRPr="008407C4" w:rsidRDefault="00923C8C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noProof/>
          <w:sz w:val="20"/>
          <w:szCs w:val="20"/>
          <w:lang w:eastAsia="pl-PL"/>
        </w:rPr>
        <w:drawing>
          <wp:inline distT="0" distB="0" distL="0" distR="0">
            <wp:extent cx="6124575" cy="2381250"/>
            <wp:effectExtent l="1905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16" w:rsidRPr="008407C4" w:rsidRDefault="00841716" w:rsidP="008407C4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10</w:t>
      </w:r>
      <w:r w:rsidR="00FC130E" w:rsidRPr="008407C4">
        <w:rPr>
          <w:rFonts w:asciiTheme="minorHAnsi" w:hAnsiTheme="minorHAnsi" w:cs="Arial"/>
          <w:b/>
          <w:sz w:val="20"/>
          <w:szCs w:val="20"/>
          <w:u w:val="single"/>
        </w:rPr>
        <w:t>, ad 1-3</w:t>
      </w:r>
      <w:r w:rsidRPr="008407C4">
        <w:rPr>
          <w:rFonts w:asciiTheme="minorHAnsi" w:hAnsiTheme="minorHAnsi" w:cs="Arial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="0019451E"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E54D4D" w:rsidRDefault="00E54D4D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E54D4D" w:rsidRDefault="00E54D4D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lastRenderedPageBreak/>
        <w:t>Pytanie nr 11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Pytanie 1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Czy w trosce o uzyskanie najkorzystniejszych warunków zakupu Zamawiający wyrazi zgodę na zaoferowanie w pakiecie 102 poz. 1,2,3,4,5,7,8,9,10,14 preparatu o takim samym zastosowaniu klinicznym  w workach z dwoma niezależnymi portami, ponieważ: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zastosowanie opakowań typu worek może w znaczny sposób wpłynąć na zmniejszenie ilości zakażeń związanych z linią naczyniową, ponieważ w celu opróżnienia opakowanie nie wymaga odpowietrzania, czyli wyeliminowana jest droga wnikania patogenów bezpośrednio do organizmu pacjenta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redukcja zakażeń ma bezpośredni wpływ na bezpieczeństwo pacjentów, personelu oraz zmniejszenie kosztów, również tych związanych z ewentualnymi roszczeniami ze strony pacjentów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worki </w:t>
      </w:r>
      <w:proofErr w:type="spellStart"/>
      <w:r w:rsidRPr="008407C4">
        <w:rPr>
          <w:rFonts w:asciiTheme="minorHAnsi" w:hAnsiTheme="minorHAnsi"/>
          <w:sz w:val="20"/>
          <w:szCs w:val="20"/>
        </w:rPr>
        <w:t>Viaflo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pakowane są w dodatkowe zewnętrzne opakowanie, dzięki czemu są dodatkowo chronione  przed mechanicznymi uszkodzeniami i biologiczną kontaminacją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koszty utylizacji opróżnionych worków są nawet o 50% niższe, niż koszty utylizacji opróżnionych butelek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składowanie produktów w opakowaniu typu worek wymaga znacznie mniejszej powierzchni magazynowej, ponieważ taka forma opakowania zajmuje mniej </w:t>
      </w:r>
      <w:proofErr w:type="spellStart"/>
      <w:r w:rsidRPr="008407C4">
        <w:rPr>
          <w:rFonts w:asciiTheme="minorHAnsi" w:hAnsiTheme="minorHAnsi"/>
          <w:sz w:val="20"/>
          <w:szCs w:val="20"/>
        </w:rPr>
        <w:t>mniejsca</w:t>
      </w:r>
      <w:proofErr w:type="spellEnd"/>
      <w:r w:rsidRPr="008407C4">
        <w:rPr>
          <w:rFonts w:asciiTheme="minorHAnsi" w:hAnsiTheme="minorHAnsi"/>
          <w:sz w:val="20"/>
          <w:szCs w:val="20"/>
        </w:rPr>
        <w:t>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/>
          <w:sz w:val="20"/>
          <w:szCs w:val="20"/>
        </w:rPr>
        <w:t>Powyższa modyfikacja umożliwi przystąpienie do postępowania większej liczbie oferentów, co pozwoli Zamawiającemu na uzyskanie korzystniejszej oferty cenowej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Pytanie 2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Czy Zamawiający wyrazi zgodę na zaoferowanie w pakiecie 102 poz. 11,12,13 nowoczesnego płynu </w:t>
      </w:r>
      <w:proofErr w:type="spellStart"/>
      <w:r w:rsidRPr="008407C4">
        <w:rPr>
          <w:rFonts w:asciiTheme="minorHAnsi" w:hAnsiTheme="minorHAnsi"/>
          <w:sz w:val="20"/>
          <w:szCs w:val="20"/>
        </w:rPr>
        <w:t>wieloelektrolitowego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Plasmalyte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500ml i 1000ml w pakowaniu worek </w:t>
      </w:r>
      <w:proofErr w:type="spellStart"/>
      <w:r w:rsidRPr="008407C4">
        <w:rPr>
          <w:rFonts w:asciiTheme="minorHAnsi" w:hAnsiTheme="minorHAnsi"/>
          <w:sz w:val="20"/>
          <w:szCs w:val="20"/>
        </w:rPr>
        <w:t>Viaflo</w:t>
      </w:r>
      <w:proofErr w:type="spellEnd"/>
      <w:r w:rsidRPr="008407C4">
        <w:rPr>
          <w:rFonts w:asciiTheme="minorHAnsi" w:hAnsiTheme="minorHAnsi"/>
          <w:sz w:val="20"/>
          <w:szCs w:val="20"/>
        </w:rPr>
        <w:t>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Uzasadnienie: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proofErr w:type="spellStart"/>
      <w:r w:rsidRPr="008407C4">
        <w:rPr>
          <w:rFonts w:asciiTheme="minorHAnsi" w:hAnsiTheme="minorHAnsi"/>
          <w:sz w:val="20"/>
          <w:szCs w:val="20"/>
        </w:rPr>
        <w:t>PlasmaLyte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jest izotonicznym płynem </w:t>
      </w:r>
      <w:proofErr w:type="spellStart"/>
      <w:r w:rsidRPr="008407C4">
        <w:rPr>
          <w:rFonts w:asciiTheme="minorHAnsi" w:hAnsiTheme="minorHAnsi"/>
          <w:sz w:val="20"/>
          <w:szCs w:val="20"/>
        </w:rPr>
        <w:t>wieloelektrolitowym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o fizjologicznym składzie i fizjologicznym </w:t>
      </w:r>
      <w:proofErr w:type="spellStart"/>
      <w:r w:rsidRPr="008407C4">
        <w:rPr>
          <w:rFonts w:asciiTheme="minorHAnsi" w:hAnsiTheme="minorHAnsi"/>
          <w:sz w:val="20"/>
          <w:szCs w:val="20"/>
        </w:rPr>
        <w:t>Ph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oraz fizjologicznej </w:t>
      </w:r>
      <w:proofErr w:type="spellStart"/>
      <w:r w:rsidRPr="008407C4">
        <w:rPr>
          <w:rFonts w:asciiTheme="minorHAnsi" w:hAnsiTheme="minorHAnsi"/>
          <w:sz w:val="20"/>
          <w:szCs w:val="20"/>
        </w:rPr>
        <w:t>osmolarności</w:t>
      </w:r>
      <w:proofErr w:type="spellEnd"/>
      <w:r w:rsidRPr="008407C4">
        <w:rPr>
          <w:rFonts w:asciiTheme="minorHAnsi" w:hAnsiTheme="minorHAnsi"/>
          <w:sz w:val="20"/>
          <w:szCs w:val="20"/>
        </w:rPr>
        <w:t>. Posiada podwójny układ buforowy (octan/</w:t>
      </w:r>
      <w:proofErr w:type="spellStart"/>
      <w:r w:rsidRPr="008407C4">
        <w:rPr>
          <w:rFonts w:asciiTheme="minorHAnsi" w:hAnsiTheme="minorHAnsi"/>
          <w:sz w:val="20"/>
          <w:szCs w:val="20"/>
        </w:rPr>
        <w:t>glukonian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), co zabezpiecza przed ryzykiem wywołania kwasicy spowodowanej niedokrwieniem. Nie zawiera jonów wapnia, co zwiększa kompatybilność z krwią i lekami. </w:t>
      </w:r>
      <w:proofErr w:type="spellStart"/>
      <w:r w:rsidRPr="008407C4">
        <w:rPr>
          <w:rFonts w:asciiTheme="minorHAnsi" w:hAnsiTheme="minorHAnsi"/>
          <w:sz w:val="20"/>
          <w:szCs w:val="20"/>
        </w:rPr>
        <w:t>PlasmaLyte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ma skład najbardziej zbliżony do osocza.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Pytanie 3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Czy w trosce o uzyskanie najkorzystniejszych warunków zakupu Zamawiający wyrazi zgodę na zaoferowanie w pakiecie 103 poz. 1 preparatu o takim samym zastosowaniu klinicznym  w workach z dwoma niezależnymi portami, ponieważ: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zastosowanie opakowań typu worek może w znaczny sposób wpłynąć na zmniejszenie ilości zakażeń związanych z linią naczyniową, ponieważ w celu opróżnienia opakowanie nie wymaga odpowietrzania, czyli wyeliminowana jest droga wnikania patogenów bezpośrednio do organizmu pacjenta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redukcja zakażeń ma bezpośredni wpływ na bezpieczeństwo pacjentów, personelu oraz zmniejszenie kosztów, również tych związanych z ewentualnymi roszczeniami ze strony pacjentów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worki </w:t>
      </w:r>
      <w:proofErr w:type="spellStart"/>
      <w:r w:rsidRPr="008407C4">
        <w:rPr>
          <w:rFonts w:asciiTheme="minorHAnsi" w:hAnsiTheme="minorHAnsi"/>
          <w:sz w:val="20"/>
          <w:szCs w:val="20"/>
        </w:rPr>
        <w:t>Viaflo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pakowane są w dodatkowe zewnętrzne opakowanie, dzięki czemu są dodatkowo chronione  przed mechanicznymi uszkodzeniami i biologiczną kontaminacją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koszty utylizacji opróżnionych worków są nawet o 50% niższe, niż koszty utylizacji opróżnionych butelek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składowanie produktów w opakowaniu typu worek wymaga znacznie mniejszej powierzchni magazynowej, ponieważ taka forma opakowania zajmuje mniej </w:t>
      </w:r>
      <w:proofErr w:type="spellStart"/>
      <w:r w:rsidRPr="008407C4">
        <w:rPr>
          <w:rFonts w:asciiTheme="minorHAnsi" w:hAnsiTheme="minorHAnsi"/>
          <w:sz w:val="20"/>
          <w:szCs w:val="20"/>
        </w:rPr>
        <w:t>mniejsca</w:t>
      </w:r>
      <w:proofErr w:type="spellEnd"/>
      <w:r w:rsidRPr="008407C4">
        <w:rPr>
          <w:rFonts w:asciiTheme="minorHAnsi" w:hAnsiTheme="minorHAnsi"/>
          <w:sz w:val="20"/>
          <w:szCs w:val="20"/>
        </w:rPr>
        <w:t>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Powyższa modyfikacja umożliwi przystąpienie do postępowania większej liczbie oferentów, co pozwoli Zamawiającemu na uzyskanie korzystniejszej oferty cenowej.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Pytanie 4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Czy w trosce o uzyskanie najkorzystniejszych warunków zakupu Zamawiający wyrazi zgodę na zaoferowanie w pakiecie 104 poz. 1,2,3,4,5,6,7 preparatu o takim samym zastosowaniu klinicznym  w workach z dwoma niezależnymi portami, ponieważ: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lastRenderedPageBreak/>
        <w:t xml:space="preserve">zastosowanie opakowań typu worek może w znaczny sposób wpłynąć na zmniejszenie ilości zakażeń związanych z linią naczyniową, ponieważ w celu opróżnienia opakowanie nie wymaga odpowietrzania, czyli wyeliminowana jest droga wnikania patogenów bezpośrednio do organizmu pacjenta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redukcja zakażeń ma bezpośredni wpływ na bezpieczeństwo pacjentów, personelu oraz zmniejszenie kosztów, również tych związanych z ewentualnymi roszczeniami ze strony pacjentów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worki </w:t>
      </w:r>
      <w:proofErr w:type="spellStart"/>
      <w:r w:rsidRPr="008407C4">
        <w:rPr>
          <w:rFonts w:asciiTheme="minorHAnsi" w:hAnsiTheme="minorHAnsi"/>
          <w:sz w:val="20"/>
          <w:szCs w:val="20"/>
        </w:rPr>
        <w:t>Viaflo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pakowane są w dodatkowe zewnętrzne opakowanie, dzięki czemu są dodatkowo chronione  przed mechanicznymi uszkodzeniami i biologiczną kontaminacją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koszty utylizacji opróżnionych worków są nawet o 50% niższe, niż koszty utylizacji opróżnionych butelek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składowanie produktów w opakowaniu typu worek wymaga znacznie mniejszej powierzchni magazynowej, ponieważ taka forma opakowania zajmuje mniej </w:t>
      </w:r>
      <w:proofErr w:type="spellStart"/>
      <w:r w:rsidRPr="008407C4">
        <w:rPr>
          <w:rFonts w:asciiTheme="minorHAnsi" w:hAnsiTheme="minorHAnsi"/>
          <w:sz w:val="20"/>
          <w:szCs w:val="20"/>
        </w:rPr>
        <w:t>mniejsca</w:t>
      </w:r>
      <w:proofErr w:type="spellEnd"/>
      <w:r w:rsidRPr="008407C4">
        <w:rPr>
          <w:rFonts w:asciiTheme="minorHAnsi" w:hAnsiTheme="minorHAnsi"/>
          <w:sz w:val="20"/>
          <w:szCs w:val="20"/>
        </w:rPr>
        <w:t>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Powyższa modyfikacja umożliwi przystąpienie do postępowania większej liczbie oferentów, co pozwoli Zamawiającemu na uzyskanie korzystniejszej oferty cenowej.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Pytanie 5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Czy Zamawiający wyrazi zgodę na zaoferowanie w Pakiecie 106, pozycja 2 preparatu: </w:t>
      </w:r>
      <w:proofErr w:type="spellStart"/>
      <w:r w:rsidRPr="008407C4">
        <w:rPr>
          <w:rFonts w:asciiTheme="minorHAnsi" w:hAnsiTheme="minorHAnsi"/>
          <w:sz w:val="20"/>
          <w:szCs w:val="20"/>
        </w:rPr>
        <w:t>Natrium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Chloratum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0,9% do irygacji – przepłukiwania   500 ml /1000 ml  typu </w:t>
      </w:r>
      <w:proofErr w:type="spellStart"/>
      <w:r w:rsidRPr="008407C4">
        <w:rPr>
          <w:rFonts w:asciiTheme="minorHAnsi" w:hAnsiTheme="minorHAnsi"/>
          <w:sz w:val="20"/>
          <w:szCs w:val="20"/>
        </w:rPr>
        <w:t>pour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bottle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, jałowa, w butelce odkręcanej kwadratowej z zabezpieczeniem, aby kropla wylewanego  płynu nie mogła potoczyć się po zewnętrznej stronie butelki. Butelka kwadratowa eliminuje </w:t>
      </w:r>
      <w:proofErr w:type="spellStart"/>
      <w:r w:rsidRPr="008407C4">
        <w:rPr>
          <w:rFonts w:asciiTheme="minorHAnsi" w:hAnsiTheme="minorHAnsi"/>
          <w:sz w:val="20"/>
          <w:szCs w:val="20"/>
        </w:rPr>
        <w:t>możliwośc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pomyłki z płynami do zastosowania dożylnego?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Pytanie 6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Czy Zamawiający wyrazi zgodę na zaoferowanie w Pakiecie 106, pozycja 1 preparatu: Woda do irygacji – przepłukiwania   500 ml /1000 ml  typu </w:t>
      </w:r>
      <w:proofErr w:type="spellStart"/>
      <w:r w:rsidRPr="008407C4">
        <w:rPr>
          <w:rFonts w:asciiTheme="minorHAnsi" w:hAnsiTheme="minorHAnsi"/>
          <w:sz w:val="20"/>
          <w:szCs w:val="20"/>
        </w:rPr>
        <w:t>pour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bottle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, jałowa, w butelce odkręcanej kwadratowej z zabezpieczeniem, aby kropla wylewanego  płynu nie mogła potoczyć się po zewnętrznej stronie butelki. Butelka kwadratowa eliminuje </w:t>
      </w:r>
      <w:proofErr w:type="spellStart"/>
      <w:r w:rsidRPr="008407C4">
        <w:rPr>
          <w:rFonts w:asciiTheme="minorHAnsi" w:hAnsiTheme="minorHAnsi"/>
          <w:sz w:val="20"/>
          <w:szCs w:val="20"/>
        </w:rPr>
        <w:t>możliwośc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pomyłki   z płynami do zastosowania dożylnego?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Odpowiedzi na pyt. 11: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</w:rPr>
        <w:t>Ad 3– Tak, Zamawiający dopuszcza.</w:t>
      </w:r>
      <w:r w:rsidR="008407C4">
        <w:rPr>
          <w:rFonts w:asciiTheme="minorHAnsi" w:hAnsiTheme="minorHAnsi" w:cs="Arial"/>
          <w:b/>
          <w:sz w:val="20"/>
          <w:szCs w:val="20"/>
        </w:rPr>
        <w:t xml:space="preserve">;  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Ad 1,2,4,5,6- </w:t>
      </w:r>
      <w:r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12</w:t>
      </w:r>
    </w:p>
    <w:p w:rsidR="00FC130E" w:rsidRPr="008407C4" w:rsidRDefault="00FC130E" w:rsidP="008407C4">
      <w:pPr>
        <w:spacing w:line="240" w:lineRule="auto"/>
        <w:rPr>
          <w:rStyle w:val="Pogrubienie"/>
          <w:rFonts w:asciiTheme="minorHAnsi" w:hAnsiTheme="minorHAnsi"/>
          <w:b w:val="0"/>
          <w:sz w:val="20"/>
          <w:szCs w:val="20"/>
        </w:rPr>
      </w:pPr>
      <w:r w:rsidRPr="008407C4">
        <w:rPr>
          <w:rStyle w:val="Pogrubienie"/>
          <w:rFonts w:asciiTheme="minorHAnsi" w:hAnsiTheme="minorHAnsi"/>
          <w:sz w:val="20"/>
          <w:szCs w:val="20"/>
        </w:rPr>
        <w:t xml:space="preserve">Pakiet 90   - parafina </w:t>
      </w:r>
      <w:r w:rsidRPr="008407C4">
        <w:rPr>
          <w:rStyle w:val="Pogrubienie"/>
          <w:rFonts w:asciiTheme="minorHAnsi" w:hAnsiTheme="minorHAnsi"/>
          <w:b w:val="0"/>
          <w:sz w:val="20"/>
          <w:szCs w:val="20"/>
        </w:rPr>
        <w:t>Czy Zamawiający  odstąpi od warunku posiadania koncesji na prowadzenie</w:t>
      </w:r>
      <w:r w:rsidRPr="008407C4">
        <w:rPr>
          <w:rFonts w:asciiTheme="minorHAnsi" w:hAnsiTheme="minorHAnsi"/>
          <w:sz w:val="20"/>
          <w:szCs w:val="20"/>
        </w:rPr>
        <w:t xml:space="preserve"> </w:t>
      </w:r>
      <w:r w:rsidRPr="008407C4">
        <w:rPr>
          <w:rStyle w:val="Pogrubienie"/>
          <w:rFonts w:asciiTheme="minorHAnsi" w:hAnsiTheme="minorHAnsi"/>
          <w:b w:val="0"/>
          <w:sz w:val="20"/>
          <w:szCs w:val="20"/>
        </w:rPr>
        <w:t>hurtowni farmaceutycznej dla pakietu 90?</w:t>
      </w:r>
    </w:p>
    <w:p w:rsidR="00FC130E" w:rsidRPr="008407C4" w:rsidRDefault="00FC130E" w:rsidP="008407C4">
      <w:pPr>
        <w:spacing w:line="240" w:lineRule="auto"/>
        <w:ind w:firstLine="708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Zgodnie z ustawą PZP(art.22ust.1.pkt.1) warunek szczegółowy – uprawnienia do wykonywania określonej działalności lub czynności, </w:t>
      </w:r>
      <w:proofErr w:type="spellStart"/>
      <w:r w:rsidRPr="008407C4">
        <w:rPr>
          <w:rFonts w:asciiTheme="minorHAnsi" w:hAnsiTheme="minorHAnsi"/>
          <w:sz w:val="20"/>
          <w:szCs w:val="20"/>
        </w:rPr>
        <w:t>t.j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. prowadzenia hurtowni farmaceutycznej w zakresie dotyczącym oferty,  na podstawie koncesji zezwolenia, licencji – dotyczy wykonawców o ile przepisy prawa nakładają taki obowiązek. 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Parafina z pakietu 90 nie jest produktem leczniczym, lecz wyłącznie wyrobem medycznym podlegającym innym regulacjom niż produkty lecznicze (przepisy prawa nie nakładają w tym zakresie obowiązku posiadania uprawnień, </w:t>
      </w:r>
      <w:proofErr w:type="spellStart"/>
      <w:r w:rsidRPr="008407C4">
        <w:rPr>
          <w:rFonts w:asciiTheme="minorHAnsi" w:hAnsiTheme="minorHAnsi"/>
          <w:sz w:val="20"/>
          <w:szCs w:val="20"/>
        </w:rPr>
        <w:t>t.j</w:t>
      </w:r>
      <w:proofErr w:type="spellEnd"/>
      <w:r w:rsidRPr="008407C4">
        <w:rPr>
          <w:rFonts w:asciiTheme="minorHAnsi" w:hAnsiTheme="minorHAnsi"/>
          <w:sz w:val="20"/>
          <w:szCs w:val="20"/>
        </w:rPr>
        <w:t>. koncesji czy licencji) wówczas nie ma obowiązku załączenia dokumentów, których prawo nie wymaga dla prowadzenia działalności gospodarczej w zakresie dotyczącym parafiny.</w:t>
      </w: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12: Tak.</w:t>
      </w: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13</w:t>
      </w:r>
    </w:p>
    <w:p w:rsidR="00FC130E" w:rsidRPr="008407C4" w:rsidRDefault="00FC130E" w:rsidP="008407C4">
      <w:pPr>
        <w:spacing w:line="240" w:lineRule="auto"/>
        <w:rPr>
          <w:rFonts w:asciiTheme="minorHAnsi" w:hAnsiTheme="minorHAnsi"/>
          <w:bCs/>
          <w:sz w:val="20"/>
          <w:szCs w:val="20"/>
        </w:rPr>
      </w:pPr>
      <w:r w:rsidRPr="008407C4">
        <w:rPr>
          <w:rFonts w:asciiTheme="minorHAnsi" w:hAnsiTheme="minorHAnsi"/>
          <w:bCs/>
          <w:sz w:val="20"/>
          <w:szCs w:val="20"/>
        </w:rPr>
        <w:t xml:space="preserve">Czy Zamawiający wymaga, aby w pakiecie nr 56 oferowany preparat </w:t>
      </w:r>
      <w:proofErr w:type="spellStart"/>
      <w:r w:rsidRPr="008407C4">
        <w:rPr>
          <w:rFonts w:asciiTheme="minorHAnsi" w:hAnsiTheme="minorHAnsi"/>
          <w:bCs/>
          <w:sz w:val="20"/>
          <w:szCs w:val="20"/>
        </w:rPr>
        <w:t>Budesonid</w:t>
      </w:r>
      <w:proofErr w:type="spellEnd"/>
      <w:r w:rsidRPr="008407C4">
        <w:rPr>
          <w:rFonts w:asciiTheme="minorHAnsi" w:hAnsiTheme="minorHAnsi"/>
          <w:bCs/>
          <w:sz w:val="20"/>
          <w:szCs w:val="20"/>
        </w:rPr>
        <w:t xml:space="preserve"> posiadał rejestracje umożliwiającą mieszanie z innymi roztworami do nebulizacji takimi jak </w:t>
      </w:r>
      <w:proofErr w:type="spellStart"/>
      <w:r w:rsidRPr="008407C4">
        <w:rPr>
          <w:rFonts w:asciiTheme="minorHAnsi" w:hAnsiTheme="minorHAnsi"/>
          <w:bCs/>
          <w:sz w:val="20"/>
          <w:szCs w:val="20"/>
        </w:rPr>
        <w:t>salbutamol</w:t>
      </w:r>
      <w:proofErr w:type="spellEnd"/>
      <w:r w:rsidRPr="008407C4">
        <w:rPr>
          <w:rFonts w:asciiTheme="minorHAnsi" w:hAnsiTheme="minorHAnsi"/>
          <w:bCs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bCs/>
          <w:sz w:val="20"/>
          <w:szCs w:val="20"/>
        </w:rPr>
        <w:t>fenoterol</w:t>
      </w:r>
      <w:proofErr w:type="spellEnd"/>
      <w:r w:rsidRPr="008407C4">
        <w:rPr>
          <w:rFonts w:asciiTheme="minorHAnsi" w:hAnsiTheme="minorHAnsi"/>
          <w:bCs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bCs/>
          <w:sz w:val="20"/>
          <w:szCs w:val="20"/>
        </w:rPr>
        <w:t>acetylocysteina</w:t>
      </w:r>
      <w:proofErr w:type="spellEnd"/>
      <w:r w:rsidRPr="008407C4">
        <w:rPr>
          <w:rFonts w:asciiTheme="minorHAnsi" w:hAnsiTheme="minorHAnsi"/>
          <w:bCs/>
          <w:sz w:val="20"/>
          <w:szCs w:val="20"/>
        </w:rPr>
        <w:t xml:space="preserve"> potwierdzoną w CHPL?</w:t>
      </w:r>
    </w:p>
    <w:p w:rsidR="00FC130E" w:rsidRPr="008407C4" w:rsidRDefault="00FC130E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</w:t>
      </w:r>
      <w:r w:rsidR="00A7130A" w:rsidRPr="008407C4">
        <w:rPr>
          <w:rFonts w:asciiTheme="minorHAnsi" w:hAnsiTheme="minorHAnsi" w:cs="Arial"/>
          <w:b/>
          <w:sz w:val="20"/>
          <w:szCs w:val="20"/>
          <w:u w:val="single"/>
        </w:rPr>
        <w:t>ź</w:t>
      </w:r>
      <w:r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 na pyt. 13: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14</w:t>
      </w:r>
    </w:p>
    <w:p w:rsidR="00A7130A" w:rsidRPr="008407C4" w:rsidRDefault="00A7130A" w:rsidP="008407C4">
      <w:pPr>
        <w:pStyle w:val="Akapitzlist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Czy Zamawiający  w pakiecie nr 13 dopuści lek </w:t>
      </w:r>
      <w:proofErr w:type="spellStart"/>
      <w:r w:rsidRPr="008407C4">
        <w:rPr>
          <w:rFonts w:asciiTheme="minorHAnsi" w:hAnsiTheme="minorHAnsi"/>
          <w:b/>
          <w:sz w:val="20"/>
          <w:szCs w:val="20"/>
        </w:rPr>
        <w:t>Cefazolin-MIP</w:t>
      </w:r>
      <w:proofErr w:type="spellEnd"/>
      <w:r w:rsidRPr="008407C4">
        <w:rPr>
          <w:rFonts w:asciiTheme="minorHAnsi" w:hAnsiTheme="minorHAnsi"/>
          <w:b/>
          <w:sz w:val="20"/>
          <w:szCs w:val="20"/>
        </w:rPr>
        <w:t xml:space="preserve"> 2g</w:t>
      </w:r>
      <w:r w:rsidRPr="008407C4">
        <w:rPr>
          <w:rFonts w:asciiTheme="minorHAnsi" w:hAnsiTheme="minorHAnsi"/>
          <w:sz w:val="20"/>
          <w:szCs w:val="20"/>
        </w:rPr>
        <w:t xml:space="preserve"> z jednoczesnym przeliczeniem ilości?  </w:t>
      </w:r>
    </w:p>
    <w:p w:rsidR="00E54D4D" w:rsidRDefault="00E54D4D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14: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8407C4" w:rsidRDefault="008407C4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lastRenderedPageBreak/>
        <w:t>Pytanie nr 15</w:t>
      </w:r>
    </w:p>
    <w:p w:rsidR="00A7130A" w:rsidRPr="008407C4" w:rsidRDefault="00A7130A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- Czy Zamawiający wyrazi zgodę na wydzielenie z pakietu nr 95 -import docelowy  pozycji 2 (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Ethionamide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250 mg ) i stworzenie osobnego pakietu?</w:t>
      </w:r>
    </w:p>
    <w:p w:rsidR="00A7130A" w:rsidRPr="008407C4" w:rsidRDefault="00A7130A" w:rsidP="008407C4">
      <w:pPr>
        <w:shd w:val="clear" w:color="auto" w:fill="FFFFFF"/>
        <w:spacing w:after="0" w:line="240" w:lineRule="auto"/>
        <w:rPr>
          <w:rFonts w:asciiTheme="minorHAnsi" w:eastAsia="Times New Roman" w:hAnsiTheme="minorHAnsi"/>
          <w:color w:val="333333"/>
          <w:sz w:val="20"/>
          <w:szCs w:val="20"/>
          <w:lang w:eastAsia="pl-PL"/>
        </w:rPr>
      </w:pPr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Pozwoli to na przystąpienie do </w:t>
      </w:r>
      <w:proofErr w:type="spellStart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>przeatrgu</w:t>
      </w:r>
      <w:proofErr w:type="spellEnd"/>
      <w:r w:rsidRPr="008407C4">
        <w:rPr>
          <w:rFonts w:asciiTheme="minorHAnsi" w:eastAsia="Times New Roman" w:hAnsiTheme="minorHAnsi"/>
          <w:color w:val="333333"/>
          <w:sz w:val="20"/>
          <w:szCs w:val="20"/>
          <w:lang w:eastAsia="pl-PL"/>
        </w:rPr>
        <w:t xml:space="preserve"> większej ilości oferentów i zaoferowanie niżej ceny.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15: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nie wyraża zgody i  pozostawia zapisy SIWZ bez zmian.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16</w:t>
      </w:r>
    </w:p>
    <w:p w:rsidR="00A7130A" w:rsidRPr="008407C4" w:rsidRDefault="00A7130A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 xml:space="preserve">Zwracam się z uprzejmym zapytaniem czy Zamawiający w postępowaniu przetargowym </w:t>
      </w:r>
      <w:proofErr w:type="spellStart"/>
      <w:r w:rsidRPr="008407C4">
        <w:rPr>
          <w:rFonts w:asciiTheme="minorHAnsi" w:hAnsiTheme="minorHAnsi"/>
          <w:sz w:val="20"/>
          <w:szCs w:val="20"/>
        </w:rPr>
        <w:t>WCPiT</w:t>
      </w:r>
      <w:proofErr w:type="spellEnd"/>
      <w:r w:rsidRPr="008407C4">
        <w:rPr>
          <w:rFonts w:asciiTheme="minorHAnsi" w:hAnsiTheme="minorHAnsi"/>
          <w:sz w:val="20"/>
          <w:szCs w:val="20"/>
        </w:rPr>
        <w:t>/EA/381-08/2017, w pakiecie (zadaniu) Pakiet nr 49 LEKI OGÓLNE, SUROWCE FARMACEUTYCZNE, ARTYKUŁY MATERIAŁOWE, WYROBY MEDYCZNE I INNE, w pozycjach 56, 57, 60, 61 oraz 74 dotyczących „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casei</w:t>
      </w:r>
      <w:proofErr w:type="spellEnd"/>
      <w:r w:rsidRPr="008407C4">
        <w:rPr>
          <w:rFonts w:asciiTheme="minorHAnsi" w:hAnsiTheme="minorHAnsi"/>
          <w:sz w:val="20"/>
          <w:szCs w:val="20"/>
        </w:rPr>
        <w:t>, Inulina, 511 mg/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helveticus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Lactococcus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lactis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Bifidobacterium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longum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Bifidobacterium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breve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rhamnosus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Streptococcus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thermophilus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Bifidobacterium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bifidum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casei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plantarum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składnik odżywczy – </w:t>
      </w:r>
      <w:proofErr w:type="spellStart"/>
      <w:r w:rsidRPr="008407C4">
        <w:rPr>
          <w:rFonts w:asciiTheme="minorHAnsi" w:hAnsiTheme="minorHAnsi"/>
          <w:sz w:val="20"/>
          <w:szCs w:val="20"/>
        </w:rPr>
        <w:t>oligofruktoza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/Liofilizowane kultury bakterii kwasu mlekowego: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acidophilus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rhamnosus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plantarum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Lactococcus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lactis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8407C4">
        <w:rPr>
          <w:rFonts w:asciiTheme="minorHAnsi" w:hAnsiTheme="minorHAnsi"/>
          <w:sz w:val="20"/>
          <w:szCs w:val="20"/>
        </w:rPr>
        <w:t>Bifidodobacterium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biHdum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, inulina/Liofilizowane szczepy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rhamnosus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4 mld, </w:t>
      </w:r>
      <w:proofErr w:type="spellStart"/>
      <w:r w:rsidRPr="008407C4">
        <w:rPr>
          <w:rFonts w:asciiTheme="minorHAnsi" w:hAnsiTheme="minorHAnsi"/>
          <w:sz w:val="20"/>
          <w:szCs w:val="20"/>
        </w:rPr>
        <w:t>fructooligosacharydy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2,96g/Pałeczki kwasu mlekowego 1,6 mld CFU: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acidophilus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37,5%, </w:t>
      </w:r>
      <w:proofErr w:type="spellStart"/>
      <w:r w:rsidRPr="008407C4">
        <w:rPr>
          <w:rFonts w:asciiTheme="minorHAnsi" w:hAnsiTheme="minorHAnsi"/>
          <w:sz w:val="20"/>
          <w:szCs w:val="20"/>
        </w:rPr>
        <w:t>Lactobacillus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delbrueckii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ssp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Pr="008407C4">
        <w:rPr>
          <w:rFonts w:asciiTheme="minorHAnsi" w:hAnsiTheme="minorHAnsi"/>
          <w:sz w:val="20"/>
          <w:szCs w:val="20"/>
        </w:rPr>
        <w:t>bulgaricus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25%, </w:t>
      </w:r>
      <w:proofErr w:type="spellStart"/>
      <w:r w:rsidRPr="008407C4">
        <w:rPr>
          <w:rFonts w:asciiTheme="minorHAnsi" w:hAnsiTheme="minorHAnsi"/>
          <w:sz w:val="20"/>
          <w:szCs w:val="20"/>
        </w:rPr>
        <w:t>Bifidobacterium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lactis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37,5%” dopuszcza możliwość zaoferowania preparatu o nazwie handlowej </w:t>
      </w:r>
      <w:proofErr w:type="spellStart"/>
      <w:r w:rsidRPr="008407C4">
        <w:rPr>
          <w:rFonts w:asciiTheme="minorHAnsi" w:hAnsiTheme="minorHAnsi"/>
          <w:sz w:val="20"/>
          <w:szCs w:val="20"/>
        </w:rPr>
        <w:t>Floractin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x 20 kapsułek lub </w:t>
      </w:r>
      <w:proofErr w:type="spellStart"/>
      <w:r w:rsidRPr="008407C4">
        <w:rPr>
          <w:rFonts w:asciiTheme="minorHAnsi" w:hAnsiTheme="minorHAnsi"/>
          <w:sz w:val="20"/>
          <w:szCs w:val="20"/>
        </w:rPr>
        <w:t>Floractin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Box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x 300 (20 </w:t>
      </w:r>
      <w:proofErr w:type="spellStart"/>
      <w:r w:rsidRPr="008407C4">
        <w:rPr>
          <w:rFonts w:asciiTheme="minorHAnsi" w:hAnsiTheme="minorHAnsi"/>
          <w:sz w:val="20"/>
          <w:szCs w:val="20"/>
        </w:rPr>
        <w:t>blistrów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x 15 kapsułek – z przeliczeniem na takiej wielkości opakowania) producenta </w:t>
      </w:r>
      <w:proofErr w:type="spellStart"/>
      <w:r w:rsidRPr="008407C4">
        <w:rPr>
          <w:rFonts w:asciiTheme="minorHAnsi" w:hAnsiTheme="minorHAnsi"/>
          <w:sz w:val="20"/>
          <w:szCs w:val="20"/>
        </w:rPr>
        <w:t>Novascon</w:t>
      </w:r>
      <w:proofErr w:type="spellEnd"/>
      <w:r w:rsidRPr="008407C4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/>
          <w:sz w:val="20"/>
          <w:szCs w:val="20"/>
        </w:rPr>
        <w:t>Pharmaceuticals</w:t>
      </w:r>
      <w:proofErr w:type="spellEnd"/>
      <w:r w:rsidRPr="008407C4">
        <w:rPr>
          <w:rFonts w:asciiTheme="minorHAnsi" w:hAnsiTheme="minorHAnsi"/>
          <w:sz w:val="20"/>
          <w:szCs w:val="20"/>
        </w:rPr>
        <w:t>? W załączniku specyfikacja preparatu i jego najważniejsze cechy.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i/>
          <w:iCs/>
          <w:sz w:val="20"/>
          <w:szCs w:val="20"/>
        </w:rPr>
        <w:t>Pozwoli to naszej firmie złożyć -poprzez współpracujące z nami hurtownie- konkurencyjną ofertę, a Zamawiającemu możliwość wyboru najkorzystniejszej dla Szpitala oferty, spośród większej liczby Wykonawców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16: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17</w:t>
      </w:r>
    </w:p>
    <w:p w:rsidR="00A7130A" w:rsidRPr="008407C4" w:rsidRDefault="00A7130A" w:rsidP="008407C4">
      <w:pPr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8407C4">
        <w:rPr>
          <w:rFonts w:asciiTheme="minorHAnsi" w:hAnsiTheme="minorHAnsi" w:cs="Arial"/>
          <w:sz w:val="20"/>
          <w:szCs w:val="20"/>
        </w:rPr>
        <w:t xml:space="preserve">Czy Zamawiający w pakiecie nr 50 poz.66 -  </w:t>
      </w:r>
      <w:proofErr w:type="spellStart"/>
      <w:r w:rsidRPr="008407C4">
        <w:rPr>
          <w:rFonts w:asciiTheme="minorHAnsi" w:hAnsiTheme="minorHAnsi" w:cs="Arial"/>
          <w:sz w:val="20"/>
          <w:szCs w:val="20"/>
        </w:rPr>
        <w:t>Dobutamine</w:t>
      </w:r>
      <w:proofErr w:type="spellEnd"/>
      <w:r w:rsidRPr="008407C4">
        <w:rPr>
          <w:rFonts w:asciiTheme="minorHAnsi" w:hAnsiTheme="minorHAnsi" w:cs="Arial"/>
          <w:sz w:val="20"/>
          <w:szCs w:val="20"/>
        </w:rPr>
        <w:t xml:space="preserve"> h/</w:t>
      </w:r>
      <w:proofErr w:type="spellStart"/>
      <w:r w:rsidRPr="008407C4">
        <w:rPr>
          <w:rFonts w:asciiTheme="minorHAnsi" w:hAnsiTheme="minorHAnsi" w:cs="Arial"/>
          <w:sz w:val="20"/>
          <w:szCs w:val="20"/>
        </w:rPr>
        <w:t>ch</w:t>
      </w:r>
      <w:proofErr w:type="spellEnd"/>
      <w:r w:rsidRPr="008407C4">
        <w:rPr>
          <w:rFonts w:asciiTheme="minorHAnsi" w:hAnsiTheme="minorHAnsi" w:cs="Arial"/>
          <w:sz w:val="20"/>
          <w:szCs w:val="20"/>
        </w:rPr>
        <w:t xml:space="preserve"> 250mg  x 1fiol. , dopuszcza </w:t>
      </w:r>
      <w:proofErr w:type="spellStart"/>
      <w:r w:rsidRPr="008407C4">
        <w:rPr>
          <w:rFonts w:asciiTheme="minorHAnsi" w:hAnsiTheme="minorHAnsi" w:cs="Arial"/>
          <w:sz w:val="20"/>
          <w:szCs w:val="20"/>
        </w:rPr>
        <w:t>Dobutaminę</w:t>
      </w:r>
      <w:proofErr w:type="spellEnd"/>
      <w:r w:rsidRPr="008407C4">
        <w:rPr>
          <w:rFonts w:asciiTheme="minorHAnsi" w:hAnsiTheme="minorHAnsi" w:cs="Arial"/>
          <w:sz w:val="20"/>
          <w:szCs w:val="20"/>
        </w:rPr>
        <w:t xml:space="preserve"> w formie koncentratu do infuzji w postaci ampułek?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 xml:space="preserve">Odpowiedź na pyt. 17: 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Tak, Zamawiający dopuszcza.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18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 xml:space="preserve">Czy Zamawiający w par. 2.1 wydłuży godziny pracy apteki – na przykład do godziny 14.00? tak krótkie godziny pracy wymuszają indywidualną organizację dostaw do Zamawiającego, a nadto znacząco skracają terminy dostawy w przypadku zamówień składanych po godzinie 11.00 – dostawa musi wówczas w praktyce nastąpić w terminie krótszym, niż 24 godziny. 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>Czy Zamawiający w par. 2.2 wydłuży godziny pracy apteki – na przykład do godziny 14.00?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>Czy Zamawiający zmieni termin załatwienia reklamacji ilościowej i błędów rodzajowych wskazany w par. 2.8 na 7 dni? Zgłoszona reklamacja wymaga rozpatrzenia z uwzględnieniem analizy dokumentów magazynowo-spedycyjnych oraz wyjaśnień firmy kurierskiej dostarczającej leki, a następnie (przy jej uwzględnieniu) dostarczenia towaru. Wykonanie tego w ciągu 24 godzin jest niemożliwe.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 xml:space="preserve">Czy Zamawiający zmieni wartość procentową kary umownej w par. 4.1.1. z 2 % do wartości </w:t>
      </w:r>
      <w:proofErr w:type="spellStart"/>
      <w:r w:rsidRPr="008407C4">
        <w:rPr>
          <w:rFonts w:asciiTheme="minorHAnsi" w:hAnsiTheme="minorHAnsi"/>
          <w:sz w:val="20"/>
          <w:szCs w:val="20"/>
          <w:lang w:eastAsia="zh-CN"/>
        </w:rPr>
        <w:t>max</w:t>
      </w:r>
      <w:proofErr w:type="spellEnd"/>
      <w:r w:rsidRPr="008407C4">
        <w:rPr>
          <w:rFonts w:asciiTheme="minorHAnsi" w:hAnsiTheme="minorHAnsi"/>
          <w:sz w:val="20"/>
          <w:szCs w:val="20"/>
          <w:lang w:eastAsia="zh-CN"/>
        </w:rPr>
        <w:t xml:space="preserve">. 0,2 %? Obecna kara umowna jest rażąco wygórowana. 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 xml:space="preserve">Czy Zamawiający zmieni wartość procentową kary umownej w par. 4.1.2. z 2 % do wartości </w:t>
      </w:r>
      <w:proofErr w:type="spellStart"/>
      <w:r w:rsidRPr="008407C4">
        <w:rPr>
          <w:rFonts w:asciiTheme="minorHAnsi" w:hAnsiTheme="minorHAnsi"/>
          <w:sz w:val="20"/>
          <w:szCs w:val="20"/>
          <w:lang w:eastAsia="zh-CN"/>
        </w:rPr>
        <w:t>max</w:t>
      </w:r>
      <w:proofErr w:type="spellEnd"/>
      <w:r w:rsidRPr="008407C4">
        <w:rPr>
          <w:rFonts w:asciiTheme="minorHAnsi" w:hAnsiTheme="minorHAnsi"/>
          <w:sz w:val="20"/>
          <w:szCs w:val="20"/>
          <w:lang w:eastAsia="zh-CN"/>
        </w:rPr>
        <w:t xml:space="preserve">. 0,2 %? Obecna kara umowna jest rażąco wygórowana. 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 xml:space="preserve">Czy Zamawiający usunie par. 4.1.3. względnie zmniejszy wysokość kary umownej do wartości </w:t>
      </w:r>
      <w:proofErr w:type="spellStart"/>
      <w:r w:rsidRPr="008407C4">
        <w:rPr>
          <w:rFonts w:asciiTheme="minorHAnsi" w:hAnsiTheme="minorHAnsi"/>
          <w:sz w:val="20"/>
          <w:szCs w:val="20"/>
          <w:lang w:eastAsia="zh-CN"/>
        </w:rPr>
        <w:t>max</w:t>
      </w:r>
      <w:proofErr w:type="spellEnd"/>
      <w:r w:rsidRPr="008407C4">
        <w:rPr>
          <w:rFonts w:asciiTheme="minorHAnsi" w:hAnsiTheme="minorHAnsi"/>
          <w:sz w:val="20"/>
          <w:szCs w:val="20"/>
          <w:lang w:eastAsia="zh-CN"/>
        </w:rPr>
        <w:t>. 0,2%? Przewidziana tym przepisem kara umowna jest nieadekwatna do uchybionych obowiązków stron i rażąco wygórowana.</w:t>
      </w:r>
    </w:p>
    <w:p w:rsidR="00A7130A" w:rsidRPr="008407C4" w:rsidRDefault="00A7130A" w:rsidP="008407C4">
      <w:pPr>
        <w:pStyle w:val="Akapitzlist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Theme="minorHAnsi" w:hAnsiTheme="minorHAnsi"/>
          <w:sz w:val="20"/>
          <w:szCs w:val="20"/>
          <w:lang w:eastAsia="zh-CN"/>
        </w:rPr>
      </w:pPr>
      <w:r w:rsidRPr="008407C4">
        <w:rPr>
          <w:rFonts w:asciiTheme="minorHAnsi" w:hAnsiTheme="minorHAnsi"/>
          <w:sz w:val="20"/>
          <w:szCs w:val="20"/>
          <w:lang w:eastAsia="zh-CN"/>
        </w:rPr>
        <w:t xml:space="preserve">Czy Zamawiający zmieni wartość procentową kary umownej w par. 4.1.4. z 10 % do wartości </w:t>
      </w:r>
      <w:proofErr w:type="spellStart"/>
      <w:r w:rsidRPr="008407C4">
        <w:rPr>
          <w:rFonts w:asciiTheme="minorHAnsi" w:hAnsiTheme="minorHAnsi"/>
          <w:sz w:val="20"/>
          <w:szCs w:val="20"/>
          <w:lang w:eastAsia="zh-CN"/>
        </w:rPr>
        <w:t>max</w:t>
      </w:r>
      <w:proofErr w:type="spellEnd"/>
      <w:r w:rsidRPr="008407C4">
        <w:rPr>
          <w:rFonts w:asciiTheme="minorHAnsi" w:hAnsiTheme="minorHAnsi"/>
          <w:sz w:val="20"/>
          <w:szCs w:val="20"/>
          <w:lang w:eastAsia="zh-CN"/>
        </w:rPr>
        <w:t xml:space="preserve">. 5 %? Obecna kara umowna jest rażąco wygórowana. 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18</w:t>
      </w:r>
      <w:r w:rsidR="00E54D4D">
        <w:rPr>
          <w:rFonts w:asciiTheme="minorHAnsi" w:hAnsiTheme="minorHAnsi" w:cs="Arial"/>
          <w:b/>
          <w:sz w:val="20"/>
          <w:szCs w:val="20"/>
          <w:u w:val="single"/>
        </w:rPr>
        <w:t>, ad 1-8</w:t>
      </w:r>
      <w:r w:rsidRPr="008407C4">
        <w:rPr>
          <w:rFonts w:asciiTheme="minorHAnsi" w:hAnsiTheme="minorHAnsi" w:cs="Arial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19</w:t>
      </w:r>
    </w:p>
    <w:p w:rsidR="00A7130A" w:rsidRPr="008407C4" w:rsidRDefault="00A7130A" w:rsidP="008407C4">
      <w:pPr>
        <w:pStyle w:val="Bezodstpw"/>
        <w:jc w:val="both"/>
        <w:rPr>
          <w:rFonts w:asciiTheme="minorHAnsi" w:hAnsiTheme="minorHAnsi"/>
          <w:sz w:val="20"/>
          <w:szCs w:val="20"/>
        </w:rPr>
      </w:pPr>
      <w:r w:rsidRPr="008407C4">
        <w:rPr>
          <w:rFonts w:asciiTheme="minorHAnsi" w:hAnsiTheme="minorHAnsi"/>
          <w:sz w:val="20"/>
          <w:szCs w:val="20"/>
        </w:rPr>
        <w:t>Dotyczy części 59:</w:t>
      </w:r>
    </w:p>
    <w:p w:rsidR="00A7130A" w:rsidRPr="008407C4" w:rsidRDefault="00A7130A" w:rsidP="008407C4">
      <w:pPr>
        <w:pStyle w:val="Akapitzlist"/>
        <w:numPr>
          <w:ilvl w:val="0"/>
          <w:numId w:val="18"/>
        </w:numPr>
        <w:spacing w:before="0" w:beforeAutospacing="0" w:after="200" w:afterAutospacing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407C4">
        <w:rPr>
          <w:rFonts w:asciiTheme="minorHAnsi" w:hAnsiTheme="minorHAnsi" w:cstheme="minorHAnsi"/>
          <w:sz w:val="20"/>
          <w:szCs w:val="20"/>
        </w:rPr>
        <w:t xml:space="preserve">Czy Zamawiający wyrazi zgodę aby dostawa pasków do pomiaru glukozy we krwi do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FreeStyle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Optium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Neo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odbywała się sukcesywnie w nieprzekraczalnym terminie 48 godz.?</w:t>
      </w:r>
    </w:p>
    <w:p w:rsidR="00A7130A" w:rsidRPr="008407C4" w:rsidRDefault="00A7130A" w:rsidP="008407C4">
      <w:pPr>
        <w:pStyle w:val="Akapitzlist"/>
        <w:numPr>
          <w:ilvl w:val="0"/>
          <w:numId w:val="18"/>
        </w:numPr>
        <w:spacing w:before="0" w:beforeAutospacing="0" w:after="200" w:afterAutospacing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407C4">
        <w:rPr>
          <w:rFonts w:asciiTheme="minorHAnsi" w:hAnsiTheme="minorHAnsi" w:cstheme="minorHAnsi"/>
          <w:sz w:val="20"/>
          <w:szCs w:val="20"/>
        </w:rPr>
        <w:t>Czy Zamawiający wyrazi zgodę aby dostarczane płyny kontrolne były w dwóch poziomach: niskim i wysokim?</w:t>
      </w:r>
    </w:p>
    <w:p w:rsidR="00A7130A" w:rsidRPr="008407C4" w:rsidRDefault="00A7130A" w:rsidP="008407C4">
      <w:pPr>
        <w:pStyle w:val="Akapitzlist"/>
        <w:jc w:val="both"/>
        <w:rPr>
          <w:rFonts w:asciiTheme="minorHAnsi" w:hAnsiTheme="minorHAnsi" w:cstheme="minorHAnsi"/>
          <w:sz w:val="20"/>
          <w:szCs w:val="20"/>
        </w:rPr>
      </w:pPr>
      <w:r w:rsidRPr="008407C4">
        <w:rPr>
          <w:rFonts w:asciiTheme="minorHAnsi" w:hAnsiTheme="minorHAnsi" w:cstheme="minorHAnsi"/>
          <w:sz w:val="20"/>
          <w:szCs w:val="20"/>
        </w:rPr>
        <w:t xml:space="preserve">Uzasadnienie: Jako producent pasków i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FreeStyle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Optium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Neo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nie jesteśmy w stanie dostarczyć płynów kontrolnych na trzech poziomach. </w:t>
      </w:r>
    </w:p>
    <w:p w:rsidR="00A7130A" w:rsidRPr="008407C4" w:rsidRDefault="00A7130A" w:rsidP="008407C4">
      <w:pPr>
        <w:pStyle w:val="Akapitzlist"/>
        <w:numPr>
          <w:ilvl w:val="0"/>
          <w:numId w:val="18"/>
        </w:numPr>
        <w:spacing w:before="0" w:beforeAutospacing="0" w:after="200" w:afterAutospacing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407C4">
        <w:rPr>
          <w:rFonts w:asciiTheme="minorHAnsi" w:hAnsiTheme="minorHAnsi" w:cstheme="minorHAnsi"/>
          <w:sz w:val="20"/>
          <w:szCs w:val="20"/>
        </w:rPr>
        <w:t>Czy Zamawiający wyrazi zgodę aby termin ważności dostarczanych płynów kontrolnych wynosił 90 dni?</w:t>
      </w:r>
    </w:p>
    <w:p w:rsidR="00A7130A" w:rsidRPr="008407C4" w:rsidRDefault="00A7130A" w:rsidP="008407C4">
      <w:pPr>
        <w:pStyle w:val="Akapitzlist"/>
        <w:jc w:val="both"/>
        <w:rPr>
          <w:rFonts w:asciiTheme="minorHAnsi" w:hAnsiTheme="minorHAnsi" w:cstheme="minorHAnsi"/>
          <w:sz w:val="20"/>
          <w:szCs w:val="20"/>
        </w:rPr>
      </w:pPr>
      <w:r w:rsidRPr="008407C4">
        <w:rPr>
          <w:rFonts w:asciiTheme="minorHAnsi" w:hAnsiTheme="minorHAnsi" w:cstheme="minorHAnsi"/>
          <w:sz w:val="20"/>
          <w:szCs w:val="20"/>
        </w:rPr>
        <w:lastRenderedPageBreak/>
        <w:t xml:space="preserve">Uzasadnienie: Jako producent pasków i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glukometrów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FreeStyle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Optium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theme="minorHAnsi"/>
          <w:sz w:val="20"/>
          <w:szCs w:val="20"/>
        </w:rPr>
        <w:t>Neo</w:t>
      </w:r>
      <w:proofErr w:type="spellEnd"/>
      <w:r w:rsidRPr="008407C4">
        <w:rPr>
          <w:rFonts w:asciiTheme="minorHAnsi" w:hAnsiTheme="minorHAnsi" w:cstheme="minorHAnsi"/>
          <w:sz w:val="20"/>
          <w:szCs w:val="20"/>
        </w:rPr>
        <w:t xml:space="preserve"> nie jesteśmy w stanie dostarczyć płynów kontrolnych o terminie ważności nie krótszym niż 6 miesięcy.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19</w:t>
      </w:r>
      <w:r w:rsidR="00E54D4D">
        <w:rPr>
          <w:rFonts w:asciiTheme="minorHAnsi" w:hAnsiTheme="minorHAnsi" w:cs="Arial"/>
          <w:b/>
          <w:sz w:val="20"/>
          <w:szCs w:val="20"/>
          <w:u w:val="single"/>
        </w:rPr>
        <w:t xml:space="preserve"> ad 1-3 </w:t>
      </w:r>
      <w:r w:rsidRPr="008407C4">
        <w:rPr>
          <w:rFonts w:asciiTheme="minorHAnsi" w:hAnsiTheme="minorHAnsi" w:cs="Arial"/>
          <w:b/>
          <w:sz w:val="20"/>
          <w:szCs w:val="20"/>
          <w:u w:val="single"/>
        </w:rPr>
        <w:t>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nie wyraża zgody i pozostawia zapisy SIWZ bez zmian.</w:t>
      </w:r>
    </w:p>
    <w:p w:rsidR="00A7130A" w:rsidRPr="008407C4" w:rsidRDefault="00A7130A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Pytanie nr 20</w:t>
      </w:r>
    </w:p>
    <w:p w:rsidR="00A7130A" w:rsidRPr="008407C4" w:rsidRDefault="00923C8C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 w:rsidRPr="008407C4">
        <w:rPr>
          <w:rFonts w:asciiTheme="minorHAnsi" w:hAnsiTheme="minorHAnsi" w:cs="Arial"/>
          <w:b/>
          <w:noProof/>
          <w:sz w:val="20"/>
          <w:szCs w:val="20"/>
          <w:u w:val="single"/>
          <w:lang w:eastAsia="pl-PL"/>
        </w:rPr>
        <w:drawing>
          <wp:inline distT="0" distB="0" distL="0" distR="0">
            <wp:extent cx="6829425" cy="1371600"/>
            <wp:effectExtent l="1905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C8C" w:rsidRPr="008407C4" w:rsidRDefault="00923C8C" w:rsidP="008407C4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 w:rsidRPr="008407C4">
        <w:rPr>
          <w:rFonts w:asciiTheme="minorHAnsi" w:hAnsiTheme="minorHAnsi" w:cs="Arial"/>
          <w:b/>
          <w:sz w:val="20"/>
          <w:szCs w:val="20"/>
          <w:u w:val="single"/>
        </w:rPr>
        <w:t>Odpowiedź na pyt. 20:</w:t>
      </w:r>
      <w:r w:rsidRPr="008407C4">
        <w:rPr>
          <w:rFonts w:asciiTheme="minorHAnsi" w:hAnsiTheme="minorHAnsi" w:cs="Arial"/>
          <w:b/>
          <w:sz w:val="20"/>
          <w:szCs w:val="20"/>
        </w:rPr>
        <w:t xml:space="preserve"> </w:t>
      </w:r>
      <w:r w:rsidRPr="008407C4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8D38AC" w:rsidRDefault="008D38AC" w:rsidP="008407C4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</w:p>
    <w:p w:rsidR="008407C4" w:rsidRDefault="008407C4" w:rsidP="008407C4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>
        <w:rPr>
          <w:rFonts w:asciiTheme="minorHAnsi" w:hAnsiTheme="minorHAnsi" w:cs="Arial"/>
          <w:b/>
          <w:sz w:val="20"/>
          <w:szCs w:val="20"/>
          <w:u w:val="single"/>
        </w:rPr>
        <w:t>Pytanie nr 21</w:t>
      </w:r>
    </w:p>
    <w:p w:rsidR="008407C4" w:rsidRPr="008407C4" w:rsidRDefault="008407C4" w:rsidP="008407C4">
      <w:pPr>
        <w:pStyle w:val="Akapitzlist"/>
        <w:numPr>
          <w:ilvl w:val="0"/>
          <w:numId w:val="19"/>
        </w:numPr>
        <w:rPr>
          <w:rFonts w:asciiTheme="minorHAnsi" w:hAnsiTheme="minorHAnsi" w:cs="Arial"/>
          <w:b/>
          <w:sz w:val="20"/>
          <w:szCs w:val="20"/>
          <w:u w:val="single"/>
        </w:rPr>
      </w:pPr>
      <w:r>
        <w:rPr>
          <w:rFonts w:asciiTheme="minorHAnsi" w:hAnsiTheme="minorHAnsi" w:cs="Arial"/>
          <w:sz w:val="20"/>
          <w:szCs w:val="20"/>
        </w:rPr>
        <w:t xml:space="preserve">Czy Zamawiający wymaga w pakiecie 14 pozycja 1 aby </w:t>
      </w:r>
      <w:proofErr w:type="spellStart"/>
      <w:r>
        <w:rPr>
          <w:rFonts w:asciiTheme="minorHAnsi" w:hAnsiTheme="minorHAnsi" w:cs="Arial"/>
          <w:sz w:val="20"/>
          <w:szCs w:val="20"/>
        </w:rPr>
        <w:t>ceftazydym</w:t>
      </w:r>
      <w:proofErr w:type="spellEnd"/>
      <w:r>
        <w:rPr>
          <w:rFonts w:asciiTheme="minorHAnsi" w:hAnsiTheme="minorHAnsi" w:cs="Arial"/>
          <w:sz w:val="20"/>
          <w:szCs w:val="20"/>
        </w:rPr>
        <w:t xml:space="preserve"> zachowywał po rozpuszczeniu trwałość przez 24 godz. W temp. 2-8°C?</w:t>
      </w:r>
    </w:p>
    <w:p w:rsidR="008407C4" w:rsidRPr="008407C4" w:rsidRDefault="008407C4" w:rsidP="008407C4">
      <w:pPr>
        <w:pStyle w:val="Akapitzlist"/>
        <w:numPr>
          <w:ilvl w:val="0"/>
          <w:numId w:val="19"/>
        </w:numPr>
        <w:rPr>
          <w:rFonts w:asciiTheme="minorHAnsi" w:hAnsiTheme="minorHAnsi" w:cs="Arial"/>
          <w:b/>
          <w:sz w:val="20"/>
          <w:szCs w:val="20"/>
          <w:u w:val="single"/>
        </w:rPr>
      </w:pPr>
      <w:r>
        <w:rPr>
          <w:rFonts w:asciiTheme="minorHAnsi" w:hAnsiTheme="minorHAnsi" w:cs="Arial"/>
          <w:sz w:val="20"/>
          <w:szCs w:val="20"/>
        </w:rPr>
        <w:t xml:space="preserve">Czy Zamawiający wymaga aby </w:t>
      </w:r>
      <w:proofErr w:type="spellStart"/>
      <w:r>
        <w:rPr>
          <w:rFonts w:asciiTheme="minorHAnsi" w:hAnsiTheme="minorHAnsi" w:cs="Arial"/>
          <w:sz w:val="20"/>
          <w:szCs w:val="20"/>
        </w:rPr>
        <w:t>midazolam</w:t>
      </w:r>
      <w:proofErr w:type="spellEnd"/>
      <w:r>
        <w:rPr>
          <w:rFonts w:asciiTheme="minorHAnsi" w:hAnsiTheme="minorHAnsi" w:cs="Arial"/>
          <w:sz w:val="20"/>
          <w:szCs w:val="20"/>
        </w:rPr>
        <w:t xml:space="preserve"> w pakiecie 100 pozycja 15 i 16 posiadał w swoim składzie </w:t>
      </w:r>
      <w:proofErr w:type="spellStart"/>
      <w:r>
        <w:rPr>
          <w:rFonts w:asciiTheme="minorHAnsi" w:hAnsiTheme="minorHAnsi" w:cs="Arial"/>
          <w:sz w:val="20"/>
          <w:szCs w:val="20"/>
        </w:rPr>
        <w:t>edetynian</w:t>
      </w:r>
      <w:proofErr w:type="spellEnd"/>
      <w:r>
        <w:rPr>
          <w:rFonts w:asciiTheme="minorHAnsi" w:hAnsiTheme="minorHAnsi" w:cs="Arial"/>
          <w:sz w:val="20"/>
          <w:szCs w:val="20"/>
        </w:rPr>
        <w:t xml:space="preserve"> sodu, który zapobiega powstawaniu niewielkich ilości osadów spowodowanych wytrącaniem się produktów interakcji szkła z płynem ampułkowym, co wpływa na stabilność i jakość </w:t>
      </w:r>
      <w:proofErr w:type="spellStart"/>
      <w:r>
        <w:rPr>
          <w:rFonts w:asciiTheme="minorHAnsi" w:hAnsiTheme="minorHAnsi" w:cs="Arial"/>
          <w:sz w:val="20"/>
          <w:szCs w:val="20"/>
        </w:rPr>
        <w:t>midazolamu</w:t>
      </w:r>
      <w:proofErr w:type="spellEnd"/>
      <w:r>
        <w:rPr>
          <w:rFonts w:asciiTheme="minorHAnsi" w:hAnsiTheme="minorHAnsi" w:cs="Arial"/>
          <w:sz w:val="20"/>
          <w:szCs w:val="20"/>
        </w:rPr>
        <w:t>?</w:t>
      </w:r>
    </w:p>
    <w:p w:rsidR="008407C4" w:rsidRPr="008407C4" w:rsidRDefault="008407C4" w:rsidP="008407C4">
      <w:pPr>
        <w:pStyle w:val="Akapitzlist"/>
        <w:numPr>
          <w:ilvl w:val="0"/>
          <w:numId w:val="19"/>
        </w:numPr>
        <w:rPr>
          <w:rFonts w:asciiTheme="minorHAnsi" w:hAnsiTheme="minorHAnsi" w:cs="Arial"/>
          <w:sz w:val="20"/>
          <w:szCs w:val="20"/>
        </w:rPr>
      </w:pPr>
      <w:r w:rsidRPr="008407C4">
        <w:rPr>
          <w:rFonts w:asciiTheme="minorHAnsi" w:hAnsiTheme="minorHAnsi" w:cs="Arial"/>
          <w:sz w:val="20"/>
          <w:szCs w:val="20"/>
        </w:rPr>
        <w:t xml:space="preserve">Czy Zamawiający wymaga, aby w pakiecie 100 pozycja 15 i 16 </w:t>
      </w:r>
      <w:proofErr w:type="spellStart"/>
      <w:r w:rsidRPr="008407C4">
        <w:rPr>
          <w:rFonts w:asciiTheme="minorHAnsi" w:hAnsiTheme="minorHAnsi" w:cs="Arial"/>
          <w:sz w:val="20"/>
          <w:szCs w:val="20"/>
        </w:rPr>
        <w:t>midazolam</w:t>
      </w:r>
      <w:proofErr w:type="spellEnd"/>
      <w:r w:rsidRPr="008407C4">
        <w:rPr>
          <w:rFonts w:asciiTheme="minorHAnsi" w:hAnsiTheme="minorHAnsi" w:cs="Arial"/>
          <w:sz w:val="20"/>
          <w:szCs w:val="20"/>
        </w:rPr>
        <w:t xml:space="preserve"> miał zarejestrowaną możliwość mieszania w jednej strzykawce z produktem </w:t>
      </w:r>
      <w:proofErr w:type="spellStart"/>
      <w:r w:rsidRPr="008407C4">
        <w:rPr>
          <w:rFonts w:asciiTheme="minorHAnsi" w:hAnsiTheme="minorHAnsi" w:cs="Arial"/>
          <w:sz w:val="20"/>
          <w:szCs w:val="20"/>
        </w:rPr>
        <w:t>Morphini</w:t>
      </w:r>
      <w:proofErr w:type="spellEnd"/>
      <w:r w:rsidRPr="008407C4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8407C4">
        <w:rPr>
          <w:rFonts w:asciiTheme="minorHAnsi" w:hAnsiTheme="minorHAnsi" w:cs="Arial"/>
          <w:sz w:val="20"/>
          <w:szCs w:val="20"/>
        </w:rPr>
        <w:t>Sulfas</w:t>
      </w:r>
      <w:proofErr w:type="spellEnd"/>
      <w:r w:rsidRPr="008407C4">
        <w:rPr>
          <w:rFonts w:asciiTheme="minorHAnsi" w:hAnsiTheme="minorHAnsi" w:cs="Arial"/>
          <w:sz w:val="20"/>
          <w:szCs w:val="20"/>
        </w:rPr>
        <w:t xml:space="preserve"> WZF?</w:t>
      </w:r>
    </w:p>
    <w:p w:rsidR="00155F6C" w:rsidRPr="00155F6C" w:rsidRDefault="00155F6C" w:rsidP="00155F6C">
      <w:pPr>
        <w:rPr>
          <w:rFonts w:asciiTheme="minorHAnsi" w:hAnsiTheme="minorHAnsi" w:cs="Arial"/>
          <w:b/>
          <w:sz w:val="20"/>
          <w:szCs w:val="20"/>
        </w:rPr>
      </w:pPr>
      <w:r w:rsidRPr="00155F6C">
        <w:rPr>
          <w:rFonts w:asciiTheme="minorHAnsi" w:hAnsiTheme="minorHAnsi" w:cs="Arial"/>
          <w:b/>
          <w:sz w:val="20"/>
          <w:szCs w:val="20"/>
          <w:u w:val="single"/>
        </w:rPr>
        <w:t>Odpowiedź na pyt. 2</w:t>
      </w:r>
      <w:r w:rsidR="00E54D4D">
        <w:rPr>
          <w:rFonts w:asciiTheme="minorHAnsi" w:hAnsiTheme="minorHAnsi" w:cs="Arial"/>
          <w:b/>
          <w:sz w:val="20"/>
          <w:szCs w:val="20"/>
          <w:u w:val="single"/>
        </w:rPr>
        <w:t>1, ad 1-3</w:t>
      </w:r>
      <w:r w:rsidRPr="00155F6C">
        <w:rPr>
          <w:rFonts w:asciiTheme="minorHAnsi" w:hAnsiTheme="minorHAnsi" w:cs="Arial"/>
          <w:b/>
          <w:sz w:val="20"/>
          <w:szCs w:val="20"/>
          <w:u w:val="single"/>
        </w:rPr>
        <w:t>:</w:t>
      </w:r>
      <w:r w:rsidRPr="00155F6C">
        <w:rPr>
          <w:rFonts w:asciiTheme="minorHAnsi" w:hAnsiTheme="minorHAnsi" w:cs="Arial"/>
          <w:b/>
          <w:sz w:val="20"/>
          <w:szCs w:val="20"/>
        </w:rPr>
        <w:t xml:space="preserve"> </w:t>
      </w:r>
      <w:r w:rsidRPr="00155F6C">
        <w:rPr>
          <w:rFonts w:asciiTheme="minorHAnsi" w:hAnsiTheme="minorHAnsi"/>
          <w:b/>
          <w:sz w:val="20"/>
          <w:szCs w:val="20"/>
        </w:rPr>
        <w:t>Zamawiający pozostawia zapisy SIWZ bez zmian.</w:t>
      </w:r>
    </w:p>
    <w:p w:rsidR="00155F6C" w:rsidRDefault="00155F6C" w:rsidP="00155F6C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  <w:r>
        <w:rPr>
          <w:rFonts w:asciiTheme="minorHAnsi" w:hAnsiTheme="minorHAnsi" w:cs="Arial"/>
          <w:b/>
          <w:sz w:val="20"/>
          <w:szCs w:val="20"/>
          <w:u w:val="single"/>
        </w:rPr>
        <w:t>Pytanie nr 22</w:t>
      </w:r>
    </w:p>
    <w:p w:rsidR="00155F6C" w:rsidRDefault="00155F6C" w:rsidP="00E54D4D">
      <w:pPr>
        <w:rPr>
          <w:rFonts w:ascii="Minion" w:eastAsia="SimSun" w:hAnsi="Minion"/>
          <w:sz w:val="24"/>
          <w:szCs w:val="24"/>
        </w:rPr>
      </w:pPr>
      <w:r w:rsidRPr="00671C54">
        <w:rPr>
          <w:rFonts w:ascii="Bookman Old Style" w:eastAsia="Times New Roman" w:hAnsi="Bookman Old Style"/>
          <w:b/>
          <w:color w:val="000000"/>
        </w:rPr>
        <w:t xml:space="preserve">Dotyczy pakietu nr </w:t>
      </w:r>
      <w:r>
        <w:rPr>
          <w:rFonts w:ascii="Bookman Old Style" w:eastAsia="Times New Roman" w:hAnsi="Bookman Old Style"/>
          <w:b/>
          <w:color w:val="000000"/>
        </w:rPr>
        <w:t>3 i pakietu nr 40</w:t>
      </w:r>
      <w:r w:rsidR="00E54D4D">
        <w:rPr>
          <w:rFonts w:ascii="Bookman Old Style" w:eastAsia="Times New Roman" w:hAnsi="Bookman Old Style"/>
          <w:b/>
          <w:color w:val="000000"/>
        </w:rPr>
        <w:t xml:space="preserve"> </w:t>
      </w:r>
      <w:r>
        <w:rPr>
          <w:rFonts w:ascii="Minion" w:eastAsia="SimSun" w:hAnsi="Minion"/>
          <w:sz w:val="24"/>
          <w:szCs w:val="24"/>
        </w:rPr>
        <w:t>Czy zamawiający wyrazi zgodę na wydłużenie terminu  dostawy do 48 godzin</w:t>
      </w:r>
      <w:r w:rsidRPr="00AB1147">
        <w:rPr>
          <w:rFonts w:ascii="Bookman Old Style" w:eastAsia="Times New Roman" w:hAnsi="Bookman Old Style"/>
          <w:color w:val="000000"/>
        </w:rPr>
        <w:t xml:space="preserve"> </w:t>
      </w:r>
      <w:r>
        <w:rPr>
          <w:rFonts w:ascii="Bookman Old Style" w:eastAsia="Times New Roman" w:hAnsi="Bookman Old Style"/>
          <w:color w:val="000000"/>
        </w:rPr>
        <w:t>od momentu złożenia zamówienia</w:t>
      </w:r>
      <w:r>
        <w:rPr>
          <w:rFonts w:ascii="Minion" w:eastAsia="SimSun" w:hAnsi="Minion"/>
          <w:sz w:val="24"/>
          <w:szCs w:val="24"/>
        </w:rPr>
        <w:t xml:space="preserve"> dla asortymentu zawartego w pakietach nr 3 i 40?</w:t>
      </w:r>
    </w:p>
    <w:p w:rsidR="00155F6C" w:rsidRDefault="00155F6C" w:rsidP="00155F6C">
      <w:pPr>
        <w:spacing w:line="240" w:lineRule="auto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  <w:u w:val="single"/>
        </w:rPr>
        <w:t>Odpowiedź na pyt. 22:</w:t>
      </w:r>
      <w:r>
        <w:rPr>
          <w:rFonts w:asciiTheme="minorHAnsi" w:hAnsiTheme="minorHAnsi" w:cs="Arial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Zamawiający nie wyraża zgody i  pozostawia zapisy SIWZ bez zmian.</w:t>
      </w:r>
    </w:p>
    <w:p w:rsidR="00155F6C" w:rsidRDefault="00155F6C" w:rsidP="00155F6C">
      <w:pPr>
        <w:spacing w:line="240" w:lineRule="auto"/>
        <w:rPr>
          <w:rFonts w:asciiTheme="minorHAnsi" w:hAnsiTheme="minorHAnsi" w:cs="Arial"/>
          <w:b/>
          <w:sz w:val="20"/>
          <w:szCs w:val="20"/>
          <w:u w:val="single"/>
        </w:rPr>
      </w:pPr>
    </w:p>
    <w:p w:rsidR="008407C4" w:rsidRPr="008407C4" w:rsidRDefault="008407C4" w:rsidP="008407C4">
      <w:pPr>
        <w:spacing w:after="0" w:line="240" w:lineRule="auto"/>
        <w:jc w:val="both"/>
        <w:rPr>
          <w:rFonts w:asciiTheme="minorHAnsi" w:hAnsiTheme="minorHAnsi" w:cs="Tahoma"/>
          <w:sz w:val="20"/>
          <w:szCs w:val="20"/>
        </w:rPr>
      </w:pPr>
    </w:p>
    <w:sectPr w:rsidR="008407C4" w:rsidRPr="008407C4" w:rsidSect="00FC4B89">
      <w:footerReference w:type="even" r:id="rId12"/>
      <w:footerReference w:type="default" r:id="rId13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7C4" w:rsidRDefault="008407C4">
      <w:r>
        <w:separator/>
      </w:r>
    </w:p>
  </w:endnote>
  <w:endnote w:type="continuationSeparator" w:id="0">
    <w:p w:rsidR="008407C4" w:rsidRDefault="00840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AdvPADB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AE9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nion">
    <w:altName w:val="Cambria Math"/>
    <w:charset w:val="00"/>
    <w:family w:val="roman"/>
    <w:pitch w:val="variable"/>
    <w:sig w:usb0="00000001" w:usb1="5000E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7C4" w:rsidRDefault="00CB75F4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407C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407C4" w:rsidRDefault="008407C4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7C4" w:rsidRDefault="00CB75F4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407C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54D4D">
      <w:rPr>
        <w:rStyle w:val="Numerstrony"/>
        <w:noProof/>
      </w:rPr>
      <w:t>9</w:t>
    </w:r>
    <w:r>
      <w:rPr>
        <w:rStyle w:val="Numerstrony"/>
      </w:rPr>
      <w:fldChar w:fldCharType="end"/>
    </w:r>
  </w:p>
  <w:p w:rsidR="008407C4" w:rsidRDefault="008407C4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7C4" w:rsidRDefault="008407C4">
      <w:r>
        <w:separator/>
      </w:r>
    </w:p>
  </w:footnote>
  <w:footnote w:type="continuationSeparator" w:id="0">
    <w:p w:rsidR="008407C4" w:rsidRDefault="008407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33D6"/>
    <w:multiLevelType w:val="hybridMultilevel"/>
    <w:tmpl w:val="92BA8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84DE6"/>
    <w:multiLevelType w:val="multilevel"/>
    <w:tmpl w:val="9226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A6F58"/>
    <w:multiLevelType w:val="hybridMultilevel"/>
    <w:tmpl w:val="5A8049E6"/>
    <w:lvl w:ilvl="0" w:tplc="896A4914">
      <w:start w:val="1"/>
      <w:numFmt w:val="decimal"/>
      <w:lvlText w:val="%1)"/>
      <w:lvlJc w:val="left"/>
      <w:pPr>
        <w:ind w:left="1414" w:hanging="465"/>
      </w:pPr>
      <w:rPr>
        <w:rFonts w:ascii="Calibri" w:hAnsi="Calibri" w:cs="Times New Roman" w:hint="default"/>
        <w:color w:val="000000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61684"/>
    <w:multiLevelType w:val="multilevel"/>
    <w:tmpl w:val="0846D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C55CC"/>
    <w:multiLevelType w:val="hybridMultilevel"/>
    <w:tmpl w:val="831EAFE6"/>
    <w:lvl w:ilvl="0" w:tplc="13CE04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15DE0"/>
    <w:multiLevelType w:val="hybridMultilevel"/>
    <w:tmpl w:val="AB26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21443"/>
    <w:multiLevelType w:val="hybridMultilevel"/>
    <w:tmpl w:val="2F62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25016"/>
    <w:multiLevelType w:val="hybridMultilevel"/>
    <w:tmpl w:val="65666C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4F40E0"/>
    <w:multiLevelType w:val="hybridMultilevel"/>
    <w:tmpl w:val="AC747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C57"/>
    <w:multiLevelType w:val="hybridMultilevel"/>
    <w:tmpl w:val="33689472"/>
    <w:lvl w:ilvl="0" w:tplc="51F24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235F5"/>
    <w:multiLevelType w:val="hybridMultilevel"/>
    <w:tmpl w:val="84EE2F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D0427"/>
    <w:multiLevelType w:val="hybridMultilevel"/>
    <w:tmpl w:val="5C743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A20FD7"/>
    <w:multiLevelType w:val="hybridMultilevel"/>
    <w:tmpl w:val="F5F2D0EA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B52656"/>
    <w:multiLevelType w:val="hybridMultilevel"/>
    <w:tmpl w:val="42ECABF6"/>
    <w:lvl w:ilvl="0" w:tplc="0415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F00CDA"/>
    <w:multiLevelType w:val="hybridMultilevel"/>
    <w:tmpl w:val="9E025154"/>
    <w:lvl w:ilvl="0" w:tplc="5E9029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A51D06"/>
    <w:multiLevelType w:val="hybridMultilevel"/>
    <w:tmpl w:val="D91A57C6"/>
    <w:lvl w:ilvl="0" w:tplc="02A6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2229A1"/>
    <w:multiLevelType w:val="hybridMultilevel"/>
    <w:tmpl w:val="187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B019E6"/>
    <w:multiLevelType w:val="hybridMultilevel"/>
    <w:tmpl w:val="BA54B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2"/>
  </w:num>
  <w:num w:numId="7">
    <w:abstractNumId w:val="8"/>
  </w:num>
  <w:num w:numId="8">
    <w:abstractNumId w:val="18"/>
  </w:num>
  <w:num w:numId="9">
    <w:abstractNumId w:val="6"/>
  </w:num>
  <w:num w:numId="10">
    <w:abstractNumId w:val="5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1"/>
  </w:num>
  <w:num w:numId="16">
    <w:abstractNumId w:val="3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5F6C"/>
    <w:rsid w:val="0015693F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202ED1"/>
    <w:rsid w:val="00216CE7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B4789"/>
    <w:rsid w:val="002C48DD"/>
    <w:rsid w:val="002D326B"/>
    <w:rsid w:val="002D36A5"/>
    <w:rsid w:val="002F3695"/>
    <w:rsid w:val="002F4178"/>
    <w:rsid w:val="00305DFB"/>
    <w:rsid w:val="00331E43"/>
    <w:rsid w:val="00381F3A"/>
    <w:rsid w:val="00385DA6"/>
    <w:rsid w:val="003A16B2"/>
    <w:rsid w:val="003A4987"/>
    <w:rsid w:val="003B0D59"/>
    <w:rsid w:val="003C3980"/>
    <w:rsid w:val="003C766A"/>
    <w:rsid w:val="003D32C4"/>
    <w:rsid w:val="004167F8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B2F1F"/>
    <w:rsid w:val="004B3B17"/>
    <w:rsid w:val="004B43A7"/>
    <w:rsid w:val="004C112A"/>
    <w:rsid w:val="004E406F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79A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807FD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4152"/>
    <w:rsid w:val="007B5E4C"/>
    <w:rsid w:val="007C0D01"/>
    <w:rsid w:val="007C31E7"/>
    <w:rsid w:val="007D4F29"/>
    <w:rsid w:val="007E0877"/>
    <w:rsid w:val="007E7A02"/>
    <w:rsid w:val="00804943"/>
    <w:rsid w:val="00820D54"/>
    <w:rsid w:val="00823D9D"/>
    <w:rsid w:val="008407C4"/>
    <w:rsid w:val="00841716"/>
    <w:rsid w:val="008515A8"/>
    <w:rsid w:val="008765DE"/>
    <w:rsid w:val="00877289"/>
    <w:rsid w:val="00885E2C"/>
    <w:rsid w:val="00887D37"/>
    <w:rsid w:val="00891DFE"/>
    <w:rsid w:val="008A194A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10E28"/>
    <w:rsid w:val="00915DE4"/>
    <w:rsid w:val="009208D7"/>
    <w:rsid w:val="00923C8C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63B4"/>
    <w:rsid w:val="00A27D3F"/>
    <w:rsid w:val="00A531B3"/>
    <w:rsid w:val="00A624B8"/>
    <w:rsid w:val="00A7130A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7E97"/>
    <w:rsid w:val="00B03371"/>
    <w:rsid w:val="00B03730"/>
    <w:rsid w:val="00B27284"/>
    <w:rsid w:val="00B37B76"/>
    <w:rsid w:val="00B44D80"/>
    <w:rsid w:val="00B5132F"/>
    <w:rsid w:val="00B55035"/>
    <w:rsid w:val="00B6367E"/>
    <w:rsid w:val="00B67499"/>
    <w:rsid w:val="00B84805"/>
    <w:rsid w:val="00B86983"/>
    <w:rsid w:val="00B94004"/>
    <w:rsid w:val="00B97AC5"/>
    <w:rsid w:val="00BA1912"/>
    <w:rsid w:val="00BA5CBC"/>
    <w:rsid w:val="00BB393E"/>
    <w:rsid w:val="00BC3D03"/>
    <w:rsid w:val="00BC622D"/>
    <w:rsid w:val="00BC783A"/>
    <w:rsid w:val="00BD3CE7"/>
    <w:rsid w:val="00BE427F"/>
    <w:rsid w:val="00C00BFA"/>
    <w:rsid w:val="00C1051A"/>
    <w:rsid w:val="00C17410"/>
    <w:rsid w:val="00C32F31"/>
    <w:rsid w:val="00C401AF"/>
    <w:rsid w:val="00C449A0"/>
    <w:rsid w:val="00C51C22"/>
    <w:rsid w:val="00C5512D"/>
    <w:rsid w:val="00C735E9"/>
    <w:rsid w:val="00C73FED"/>
    <w:rsid w:val="00CA1B7F"/>
    <w:rsid w:val="00CB0C04"/>
    <w:rsid w:val="00CB75F4"/>
    <w:rsid w:val="00CC7570"/>
    <w:rsid w:val="00CD6273"/>
    <w:rsid w:val="00CE2C73"/>
    <w:rsid w:val="00CE5C8C"/>
    <w:rsid w:val="00CE6208"/>
    <w:rsid w:val="00CF4FAF"/>
    <w:rsid w:val="00D01B07"/>
    <w:rsid w:val="00D01F9A"/>
    <w:rsid w:val="00D03A88"/>
    <w:rsid w:val="00D329F4"/>
    <w:rsid w:val="00D36EE6"/>
    <w:rsid w:val="00D40195"/>
    <w:rsid w:val="00D41326"/>
    <w:rsid w:val="00D53997"/>
    <w:rsid w:val="00D544FE"/>
    <w:rsid w:val="00D73273"/>
    <w:rsid w:val="00D77D17"/>
    <w:rsid w:val="00D8236F"/>
    <w:rsid w:val="00D823EE"/>
    <w:rsid w:val="00DA3AC5"/>
    <w:rsid w:val="00DA63FB"/>
    <w:rsid w:val="00DB0222"/>
    <w:rsid w:val="00DB076E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33C69"/>
    <w:rsid w:val="00E370DA"/>
    <w:rsid w:val="00E45AF4"/>
    <w:rsid w:val="00E463E7"/>
    <w:rsid w:val="00E521E6"/>
    <w:rsid w:val="00E54D4D"/>
    <w:rsid w:val="00E6434D"/>
    <w:rsid w:val="00E82FC8"/>
    <w:rsid w:val="00E86BBA"/>
    <w:rsid w:val="00E97B8F"/>
    <w:rsid w:val="00EB05A1"/>
    <w:rsid w:val="00EB52E8"/>
    <w:rsid w:val="00EB62E2"/>
    <w:rsid w:val="00EB6BAB"/>
    <w:rsid w:val="00EC661C"/>
    <w:rsid w:val="00ED1C84"/>
    <w:rsid w:val="00F037AF"/>
    <w:rsid w:val="00F13BF8"/>
    <w:rsid w:val="00F145BE"/>
    <w:rsid w:val="00F30B41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130E"/>
    <w:rsid w:val="00FC4B89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130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130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FC130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Pogrubienie">
    <w:name w:val="Strong"/>
    <w:qFormat/>
    <w:rsid w:val="00FC130E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7130A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3964</Words>
  <Characters>25794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29699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4</cp:revision>
  <dcterms:created xsi:type="dcterms:W3CDTF">2017-04-06T10:28:00Z</dcterms:created>
  <dcterms:modified xsi:type="dcterms:W3CDTF">2017-04-07T07:06:00Z</dcterms:modified>
</cp:coreProperties>
</file>