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6D" w:rsidRDefault="00F4246D" w:rsidP="00F4246D">
      <w:pPr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324">
        <w:rPr>
          <w:rFonts w:ascii="Times New Roman" w:hAnsi="Times New Roman" w:cs="Times New Roman"/>
          <w:b/>
          <w:sz w:val="24"/>
          <w:szCs w:val="24"/>
          <w:u w:val="single"/>
        </w:rPr>
        <w:t>Załącznik 1B</w:t>
      </w:r>
    </w:p>
    <w:p w:rsidR="00D362C7" w:rsidRDefault="00D362C7" w:rsidP="00F4246D">
      <w:pPr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22E" w:rsidRDefault="00D362C7">
      <w:r>
        <w:t>Pakiet nr 1</w:t>
      </w:r>
    </w:p>
    <w:p w:rsidR="00B0697A" w:rsidRPr="00B0697A" w:rsidRDefault="00F4246D" w:rsidP="00F4246D">
      <w:pPr>
        <w:pStyle w:val="Akapitzlist"/>
        <w:numPr>
          <w:ilvl w:val="0"/>
          <w:numId w:val="2"/>
        </w:numPr>
        <w:spacing w:before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697A">
        <w:rPr>
          <w:b/>
          <w:bCs/>
          <w:sz w:val="32"/>
          <w:szCs w:val="32"/>
          <w:u w:val="single"/>
        </w:rPr>
        <w:t xml:space="preserve">Moduł I </w:t>
      </w:r>
    </w:p>
    <w:p w:rsidR="00B0697A" w:rsidRPr="00B0697A" w:rsidRDefault="00B0697A" w:rsidP="00B0697A">
      <w:pPr>
        <w:pStyle w:val="Akapitzlist"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46D" w:rsidRPr="00F764F8" w:rsidRDefault="00F4246D" w:rsidP="00B0697A">
      <w:pPr>
        <w:pStyle w:val="Akapitzlist"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>Parametry wymagane dla przeciwciał anty-ALK (D5F3), anty-ROS1 ich zestawów detekcyjnych i odpowiednich kontroli  ujemnych.</w:t>
      </w:r>
    </w:p>
    <w:p w:rsidR="00F4246D" w:rsidRDefault="00F4246D" w:rsidP="00F4246D">
      <w:pPr>
        <w:pStyle w:val="Akapitzlist"/>
        <w:ind w:firstLine="0"/>
        <w:rPr>
          <w:b/>
          <w:bCs/>
          <w:u w:val="single"/>
        </w:rPr>
      </w:pPr>
    </w:p>
    <w:p w:rsidR="00F4246D" w:rsidRDefault="00F4246D" w:rsidP="00F424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 xml:space="preserve">Dostarczone odczynniki i materiały (przeciwciała, system wizualizacyjny, bufory) powinny być tak skalkulowane aby można było wykonać </w:t>
      </w:r>
      <w:r>
        <w:rPr>
          <w:rFonts w:ascii="Times New Roman" w:hAnsi="Times New Roman" w:cs="Times New Roman"/>
          <w:sz w:val="24"/>
          <w:szCs w:val="24"/>
        </w:rPr>
        <w:t>1600</w:t>
      </w:r>
      <w:r w:rsidRPr="00F764F8">
        <w:rPr>
          <w:rFonts w:ascii="Times New Roman" w:hAnsi="Times New Roman" w:cs="Times New Roman"/>
          <w:sz w:val="24"/>
          <w:szCs w:val="24"/>
        </w:rPr>
        <w:t xml:space="preserve"> oznaczeń przeciwciał predykcyjnych (800 ALK (D5F3) + 800 ROS1) +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764F8">
        <w:rPr>
          <w:rFonts w:ascii="Times New Roman" w:hAnsi="Times New Roman" w:cs="Times New Roman"/>
          <w:sz w:val="24"/>
          <w:szCs w:val="24"/>
        </w:rPr>
        <w:t xml:space="preserve">00 oznaczeń kontroli ujemnych, odpowiednich dla każdego z przeciwciał predykcyjnych; w czasie trwania umowy (tj. </w:t>
      </w:r>
      <w:r w:rsidRPr="00F764F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764F8">
        <w:rPr>
          <w:rFonts w:ascii="Times New Roman" w:hAnsi="Times New Roman" w:cs="Times New Roman"/>
          <w:sz w:val="24"/>
          <w:szCs w:val="24"/>
        </w:rPr>
        <w:t>o 19 Listopada 2021 roku - od momentu podpisania) bez względu na umiejscowienie i wielkość skrawka badanego materiału.</w:t>
      </w:r>
    </w:p>
    <w:p w:rsidR="008B47B1" w:rsidRPr="00F764F8" w:rsidRDefault="008B47B1" w:rsidP="00F424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30551474"/>
      <w:r w:rsidRPr="00F764F8">
        <w:rPr>
          <w:rFonts w:ascii="Times New Roman" w:hAnsi="Times New Roman" w:cs="Times New Roman"/>
          <w:sz w:val="24"/>
          <w:szCs w:val="24"/>
        </w:rPr>
        <w:t>Dostarczone odczynniki i materiały (przeciwciała, system wizualizacyjny, bufory)</w:t>
      </w:r>
      <w:r>
        <w:rPr>
          <w:rFonts w:ascii="Times New Roman" w:hAnsi="Times New Roman" w:cs="Times New Roman"/>
          <w:sz w:val="24"/>
          <w:szCs w:val="24"/>
        </w:rPr>
        <w:t xml:space="preserve"> powinny być kompatybilne z aparatem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XT.</w:t>
      </w:r>
    </w:p>
    <w:bookmarkEnd w:id="0"/>
    <w:p w:rsidR="00F4246D" w:rsidRPr="00F764F8" w:rsidRDefault="00F4246D" w:rsidP="00F424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Kalkulacja ilości zużycia przeciwciał powinno uwzględniać tzw. martw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764F8">
        <w:rPr>
          <w:rFonts w:ascii="Times New Roman" w:hAnsi="Times New Roman" w:cs="Times New Roman"/>
          <w:sz w:val="24"/>
          <w:szCs w:val="24"/>
        </w:rPr>
        <w:t xml:space="preserve"> strefę (obszar opakowania zawierających odczynnik/przeciwciało niewykorzystane przez aparat) w dostarczonych opakowaniach.</w:t>
      </w:r>
    </w:p>
    <w:p w:rsidR="00F4246D" w:rsidRPr="00F764F8" w:rsidRDefault="00F4246D" w:rsidP="00F424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 xml:space="preserve">Zestaw do wizualizacji będzie zawierał (lub będzie rozszerzony) szkiełka dostosowane do barwień IHC  (szkiełka zapobiegające spływaniu preparatów podczas obróbki cieplnej) w ilości wystarczającej do wykonania </w:t>
      </w:r>
      <w:r w:rsidR="00B0697A">
        <w:rPr>
          <w:rFonts w:ascii="Times New Roman" w:hAnsi="Times New Roman" w:cs="Times New Roman"/>
          <w:sz w:val="24"/>
          <w:szCs w:val="24"/>
        </w:rPr>
        <w:t>3200</w:t>
      </w:r>
      <w:r w:rsidRPr="00F764F8">
        <w:rPr>
          <w:rFonts w:ascii="Times New Roman" w:hAnsi="Times New Roman" w:cs="Times New Roman"/>
          <w:sz w:val="24"/>
          <w:szCs w:val="24"/>
        </w:rPr>
        <w:t xml:space="preserve"> oznaczeń.</w:t>
      </w:r>
    </w:p>
    <w:p w:rsidR="00F4246D" w:rsidRPr="00F764F8" w:rsidRDefault="00F4246D" w:rsidP="00F424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Termin ważności zamawianych odczynników – co najmniej pół roku od daty dostawy.</w:t>
      </w:r>
    </w:p>
    <w:p w:rsidR="00F4246D" w:rsidRPr="00F764F8" w:rsidRDefault="00F4246D" w:rsidP="00F424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Każdy z odczynników winien być opatrzony certyfikatem zezwalającym na stosowanie w diagnostyce</w:t>
      </w:r>
      <w:r w:rsidR="00B0697A">
        <w:rPr>
          <w:rFonts w:ascii="Times New Roman" w:hAnsi="Times New Roman" w:cs="Times New Roman"/>
          <w:sz w:val="24"/>
          <w:szCs w:val="24"/>
        </w:rPr>
        <w:t xml:space="preserve"> i posiadać kartę charakterystyki substancji niebezpiecznych</w:t>
      </w:r>
      <w:r w:rsidRPr="00F764F8">
        <w:rPr>
          <w:rFonts w:ascii="Times New Roman" w:hAnsi="Times New Roman" w:cs="Times New Roman"/>
          <w:sz w:val="24"/>
          <w:szCs w:val="24"/>
        </w:rPr>
        <w:t>.</w:t>
      </w:r>
    </w:p>
    <w:p w:rsidR="00F4246D" w:rsidRPr="00F764F8" w:rsidRDefault="00F4246D" w:rsidP="00F424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 xml:space="preserve">Preferowane przeciwciała pierwotne w gotowych do użycia rozcieńczeniach (RTU) w pojemnikach umożliwiających bezpośrednie ich użycie bez potrzeby przelewania (gdy firma nie posiada takowych – musi dostarczyć opakowania umożliwiające użycie przeciwciał w systemie </w:t>
      </w:r>
      <w:proofErr w:type="spellStart"/>
      <w:r w:rsidRPr="00F764F8">
        <w:rPr>
          <w:rFonts w:ascii="Times New Roman" w:hAnsi="Times New Roman" w:cs="Times New Roman"/>
          <w:sz w:val="24"/>
          <w:szCs w:val="24"/>
        </w:rPr>
        <w:t>Benchmark</w:t>
      </w:r>
      <w:proofErr w:type="spellEnd"/>
      <w:r w:rsidRPr="00F764F8">
        <w:rPr>
          <w:rFonts w:ascii="Times New Roman" w:hAnsi="Times New Roman" w:cs="Times New Roman"/>
          <w:sz w:val="24"/>
          <w:szCs w:val="24"/>
        </w:rPr>
        <w:t xml:space="preserve"> XT).</w:t>
      </w:r>
    </w:p>
    <w:p w:rsidR="00F4246D" w:rsidRDefault="00F4246D" w:rsidP="00F4246D">
      <w:pPr>
        <w:pStyle w:val="Akapitzlist"/>
        <w:numPr>
          <w:ilvl w:val="0"/>
          <w:numId w:val="4"/>
        </w:num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Wykonawca zaoferuje przeciwciała, których klony są pozytywnie zaopiniowane przez Ministerstwo Zdrowia.</w:t>
      </w:r>
    </w:p>
    <w:p w:rsidR="00F4246D" w:rsidRDefault="00F4246D" w:rsidP="00F4246D">
      <w:pPr>
        <w:pStyle w:val="Akapitzlist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246D" w:rsidRDefault="00F4246D" w:rsidP="00B0697A">
      <w:pPr>
        <w:pStyle w:val="Akapitzlist"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>Niezależna zewnętrzna kontrola jakości polegająca na:</w:t>
      </w:r>
    </w:p>
    <w:p w:rsidR="00B0697A" w:rsidRPr="00F764F8" w:rsidRDefault="00B0697A" w:rsidP="00B0697A">
      <w:pPr>
        <w:pStyle w:val="Akapitzlist"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46D" w:rsidRPr="00F764F8" w:rsidRDefault="00F4246D" w:rsidP="00F4246D">
      <w:pPr>
        <w:pStyle w:val="Akapitzlist"/>
        <w:numPr>
          <w:ilvl w:val="1"/>
          <w:numId w:val="2"/>
        </w:numPr>
        <w:tabs>
          <w:tab w:val="left" w:pos="-4820"/>
        </w:tabs>
        <w:suppressAutoHyphens/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Uczestnictwo w testach certyfikujących wykonywanie oznaczeń predykcyjnych –</w:t>
      </w:r>
      <w:r w:rsidR="00B0697A">
        <w:rPr>
          <w:rFonts w:ascii="Times New Roman" w:hAnsi="Times New Roman" w:cs="Times New Roman"/>
          <w:sz w:val="24"/>
          <w:szCs w:val="24"/>
        </w:rPr>
        <w:t xml:space="preserve"> </w:t>
      </w:r>
      <w:r w:rsidRPr="00F764F8">
        <w:rPr>
          <w:rFonts w:ascii="Times New Roman" w:hAnsi="Times New Roman" w:cs="Times New Roman"/>
          <w:sz w:val="24"/>
          <w:szCs w:val="24"/>
        </w:rPr>
        <w:t xml:space="preserve">ALK (D5F3) i ROS1 w </w:t>
      </w:r>
      <w:r w:rsidRPr="00F764F8">
        <w:rPr>
          <w:rStyle w:val="Pogrubienie"/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ESP </w:t>
      </w:r>
      <w:proofErr w:type="spellStart"/>
      <w:r w:rsidRPr="00F764F8">
        <w:rPr>
          <w:rStyle w:val="Pogrubienie"/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Lung</w:t>
      </w:r>
      <w:proofErr w:type="spellEnd"/>
      <w:r w:rsidRPr="00F764F8">
        <w:rPr>
          <w:rStyle w:val="Pogrubienie"/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EQA </w:t>
      </w:r>
      <w:proofErr w:type="spellStart"/>
      <w:r w:rsidRPr="00F764F8">
        <w:rPr>
          <w:rStyle w:val="Pogrubienie"/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scheme</w:t>
      </w:r>
      <w:proofErr w:type="spellEnd"/>
      <w:r w:rsidRPr="00F764F8">
        <w:rPr>
          <w:rStyle w:val="Pogrubienie"/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(</w:t>
      </w:r>
      <w:proofErr w:type="spellStart"/>
      <w:r w:rsidRPr="00F764F8">
        <w:rPr>
          <w:rStyle w:val="Uwydatnienie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</w:rPr>
        <w:t>Lung</w:t>
      </w:r>
      <w:proofErr w:type="spellEnd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 </w:t>
      </w:r>
      <w:proofErr w:type="spellStart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External</w:t>
      </w:r>
      <w:proofErr w:type="spellEnd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Quality</w:t>
      </w:r>
      <w:proofErr w:type="spellEnd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Assessment</w:t>
      </w:r>
      <w:proofErr w:type="spellEnd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 </w:t>
      </w:r>
      <w:proofErr w:type="spellStart"/>
      <w:r w:rsidRPr="00F764F8">
        <w:rPr>
          <w:rStyle w:val="Uwydatnienie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</w:rPr>
        <w:t>Scheme</w:t>
      </w:r>
      <w:proofErr w:type="spellEnd"/>
      <w:r w:rsidRPr="00F764F8">
        <w:rPr>
          <w:rStyle w:val="Uwydatnienie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</w:rPr>
        <w:t>)</w:t>
      </w:r>
      <w:r w:rsidRPr="00F764F8">
        <w:rPr>
          <w:rStyle w:val="Pogrubienie"/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.</w:t>
      </w:r>
    </w:p>
    <w:p w:rsidR="00F4246D" w:rsidRDefault="00F4246D" w:rsidP="00F4246D">
      <w:pPr>
        <w:pStyle w:val="Akapitzlist"/>
        <w:numPr>
          <w:ilvl w:val="1"/>
          <w:numId w:val="2"/>
        </w:numPr>
        <w:tabs>
          <w:tab w:val="left" w:pos="-4820"/>
        </w:tabs>
        <w:suppressAutoHyphens/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poradnictwie w zakresie ustawiania protokołów diagnostycznych</w:t>
      </w:r>
    </w:p>
    <w:p w:rsidR="00F4246D" w:rsidRPr="00F764F8" w:rsidRDefault="00F4246D" w:rsidP="00F4246D">
      <w:pPr>
        <w:pStyle w:val="Akapitzlist"/>
        <w:tabs>
          <w:tab w:val="left" w:pos="-4820"/>
        </w:tabs>
        <w:suppressAutoHyphens/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246D" w:rsidRPr="00F764F8" w:rsidRDefault="00F4246D" w:rsidP="00B0697A">
      <w:pPr>
        <w:pStyle w:val="Akapitzlist"/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>Materiały eksploatacyjne do drukar</w:t>
      </w:r>
      <w:r w:rsidR="00B0697A">
        <w:rPr>
          <w:rFonts w:ascii="Times New Roman" w:hAnsi="Times New Roman" w:cs="Times New Roman"/>
          <w:b/>
          <w:sz w:val="24"/>
          <w:szCs w:val="24"/>
          <w:u w:val="single"/>
        </w:rPr>
        <w:t>ki kodów</w:t>
      </w: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246D" w:rsidRPr="00F764F8" w:rsidRDefault="00F4246D" w:rsidP="00F424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 xml:space="preserve">Naklejki na szkiełka podstawowe do drukarki kodów </w:t>
      </w:r>
      <w:proofErr w:type="spellStart"/>
      <w:r w:rsidRPr="00F764F8">
        <w:rPr>
          <w:rFonts w:ascii="Times New Roman" w:hAnsi="Times New Roman" w:cs="Times New Roman"/>
          <w:b/>
          <w:sz w:val="24"/>
          <w:szCs w:val="24"/>
        </w:rPr>
        <w:t>Ebar</w:t>
      </w:r>
      <w:proofErr w:type="spellEnd"/>
      <w:r w:rsidRPr="00F764F8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F764F8">
        <w:rPr>
          <w:rFonts w:ascii="Times New Roman" w:hAnsi="Times New Roman" w:cs="Times New Roman"/>
          <w:sz w:val="24"/>
          <w:szCs w:val="24"/>
        </w:rPr>
        <w:t xml:space="preserve"> w takiej liczbie opakowań aby można było okleić </w:t>
      </w:r>
      <w:r w:rsidR="00B0697A">
        <w:rPr>
          <w:rFonts w:ascii="Times New Roman" w:hAnsi="Times New Roman" w:cs="Times New Roman"/>
          <w:sz w:val="24"/>
          <w:szCs w:val="24"/>
        </w:rPr>
        <w:t>3200</w:t>
      </w:r>
      <w:r w:rsidRPr="00F764F8">
        <w:rPr>
          <w:rFonts w:ascii="Times New Roman" w:hAnsi="Times New Roman" w:cs="Times New Roman"/>
          <w:sz w:val="24"/>
          <w:szCs w:val="24"/>
        </w:rPr>
        <w:t xml:space="preserve"> preparatów IHC.</w:t>
      </w:r>
    </w:p>
    <w:p w:rsidR="00F4246D" w:rsidRPr="00F764F8" w:rsidRDefault="00F4246D" w:rsidP="00F424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 xml:space="preserve">Taśma do drukarki kodów w takiej liczbie opakowań aby można było wydrukować </w:t>
      </w:r>
      <w:r w:rsidR="00B0697A">
        <w:rPr>
          <w:rFonts w:ascii="Times New Roman" w:hAnsi="Times New Roman" w:cs="Times New Roman"/>
          <w:sz w:val="24"/>
          <w:szCs w:val="24"/>
        </w:rPr>
        <w:t>3200</w:t>
      </w:r>
      <w:r w:rsidRPr="00F764F8">
        <w:rPr>
          <w:rFonts w:ascii="Times New Roman" w:hAnsi="Times New Roman" w:cs="Times New Roman"/>
          <w:sz w:val="24"/>
          <w:szCs w:val="24"/>
        </w:rPr>
        <w:t xml:space="preserve"> naklejek na szkiełka IHC.</w:t>
      </w:r>
    </w:p>
    <w:p w:rsidR="00F4246D" w:rsidRDefault="00F4246D" w:rsidP="00F4246D">
      <w:pPr>
        <w:pStyle w:val="Akapitzlist"/>
        <w:ind w:firstLine="0"/>
        <w:rPr>
          <w:b/>
          <w:bCs/>
          <w:u w:val="single"/>
        </w:rPr>
      </w:pPr>
    </w:p>
    <w:p w:rsidR="00262AC9" w:rsidRDefault="00262AC9" w:rsidP="00F4246D">
      <w:pPr>
        <w:pStyle w:val="Akapitzlist"/>
        <w:ind w:firstLine="0"/>
        <w:rPr>
          <w:b/>
          <w:bCs/>
          <w:u w:val="single"/>
        </w:rPr>
      </w:pPr>
    </w:p>
    <w:p w:rsidR="00AE3352" w:rsidRDefault="00AE3352" w:rsidP="00F4246D">
      <w:pPr>
        <w:pStyle w:val="Akapitzlist"/>
        <w:ind w:firstLine="0"/>
        <w:rPr>
          <w:b/>
          <w:bCs/>
          <w:u w:val="single"/>
        </w:rPr>
      </w:pPr>
    </w:p>
    <w:p w:rsidR="00AE3352" w:rsidRPr="00D362C7" w:rsidRDefault="00D362C7" w:rsidP="00F4246D">
      <w:pPr>
        <w:pStyle w:val="Akapitzlist"/>
        <w:ind w:firstLine="0"/>
        <w:rPr>
          <w:bCs/>
        </w:rPr>
      </w:pPr>
      <w:r w:rsidRPr="00D362C7">
        <w:rPr>
          <w:bCs/>
        </w:rPr>
        <w:lastRenderedPageBreak/>
        <w:t>Pakiet nr 2</w:t>
      </w:r>
    </w:p>
    <w:p w:rsidR="00262AC9" w:rsidRPr="00B0697A" w:rsidRDefault="00262AC9" w:rsidP="00262AC9">
      <w:pPr>
        <w:pStyle w:val="Akapitzlist"/>
        <w:numPr>
          <w:ilvl w:val="0"/>
          <w:numId w:val="2"/>
        </w:numPr>
        <w:spacing w:before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697A">
        <w:rPr>
          <w:b/>
          <w:bCs/>
          <w:sz w:val="32"/>
          <w:szCs w:val="32"/>
          <w:u w:val="single"/>
        </w:rPr>
        <w:t>Moduł I</w:t>
      </w:r>
      <w:r>
        <w:rPr>
          <w:b/>
          <w:bCs/>
          <w:sz w:val="32"/>
          <w:szCs w:val="32"/>
          <w:u w:val="single"/>
        </w:rPr>
        <w:t>I</w:t>
      </w:r>
    </w:p>
    <w:p w:rsidR="00262AC9" w:rsidRPr="00B0697A" w:rsidRDefault="00262AC9" w:rsidP="00262AC9">
      <w:pPr>
        <w:pStyle w:val="Akapitzlist"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AC9" w:rsidRPr="00F764F8" w:rsidRDefault="00262AC9" w:rsidP="00262AC9">
      <w:pPr>
        <w:pStyle w:val="Akapitzlist"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>Parametry wymagane dla przeciwciał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anty-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PDL-1,</w:t>
      </w: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jego</w:t>
      </w: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zestaw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detekcyjn</w:t>
      </w:r>
      <w:r w:rsidR="008B47B1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odpowiedni</w:t>
      </w:r>
      <w:r w:rsidR="008B47B1">
        <w:rPr>
          <w:rFonts w:ascii="Times New Roman" w:hAnsi="Times New Roman" w:cs="Times New Roman"/>
          <w:b/>
          <w:sz w:val="24"/>
          <w:szCs w:val="24"/>
          <w:u w:val="single"/>
        </w:rPr>
        <w:t>ej</w:t>
      </w: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kontroli  ujemn</w:t>
      </w:r>
      <w:r w:rsidR="008B47B1">
        <w:rPr>
          <w:rFonts w:ascii="Times New Roman" w:hAnsi="Times New Roman" w:cs="Times New Roman"/>
          <w:b/>
          <w:sz w:val="24"/>
          <w:szCs w:val="24"/>
          <w:u w:val="single"/>
        </w:rPr>
        <w:t>ej</w:t>
      </w: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62AC9" w:rsidRDefault="00262AC9" w:rsidP="00262AC9">
      <w:pPr>
        <w:pStyle w:val="Akapitzlist"/>
        <w:ind w:firstLine="0"/>
        <w:rPr>
          <w:b/>
          <w:bCs/>
          <w:u w:val="single"/>
        </w:rPr>
      </w:pPr>
    </w:p>
    <w:p w:rsidR="00262AC9" w:rsidRDefault="00262AC9" w:rsidP="008B47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732" w:hanging="732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Dostarczone odczynniki i materiały (przeciwciał</w:t>
      </w:r>
      <w:r w:rsidR="008B47B1">
        <w:rPr>
          <w:rFonts w:ascii="Times New Roman" w:hAnsi="Times New Roman" w:cs="Times New Roman"/>
          <w:sz w:val="24"/>
          <w:szCs w:val="24"/>
        </w:rPr>
        <w:t>o</w:t>
      </w:r>
      <w:r w:rsidRPr="00F764F8">
        <w:rPr>
          <w:rFonts w:ascii="Times New Roman" w:hAnsi="Times New Roman" w:cs="Times New Roman"/>
          <w:sz w:val="24"/>
          <w:szCs w:val="24"/>
        </w:rPr>
        <w:t xml:space="preserve">, system wizualizacyjny, bufory) powinny być tak skalkulowane aby można było wykonać </w:t>
      </w:r>
      <w:r w:rsidR="008B47B1">
        <w:rPr>
          <w:rFonts w:ascii="Times New Roman" w:hAnsi="Times New Roman" w:cs="Times New Roman"/>
          <w:sz w:val="24"/>
          <w:szCs w:val="24"/>
        </w:rPr>
        <w:t>800</w:t>
      </w:r>
      <w:r w:rsidRPr="00F764F8">
        <w:rPr>
          <w:rFonts w:ascii="Times New Roman" w:hAnsi="Times New Roman" w:cs="Times New Roman"/>
          <w:sz w:val="24"/>
          <w:szCs w:val="24"/>
        </w:rPr>
        <w:t xml:space="preserve"> oznaczeń przeciwciał</w:t>
      </w:r>
      <w:r w:rsidR="008B47B1">
        <w:rPr>
          <w:rFonts w:ascii="Times New Roman" w:hAnsi="Times New Roman" w:cs="Times New Roman"/>
          <w:sz w:val="24"/>
          <w:szCs w:val="24"/>
        </w:rPr>
        <w:t>a</w:t>
      </w:r>
      <w:r w:rsidRPr="00F764F8">
        <w:rPr>
          <w:rFonts w:ascii="Times New Roman" w:hAnsi="Times New Roman" w:cs="Times New Roman"/>
          <w:sz w:val="24"/>
          <w:szCs w:val="24"/>
        </w:rPr>
        <w:t xml:space="preserve"> predykcyjn</w:t>
      </w:r>
      <w:r w:rsidR="008B47B1">
        <w:rPr>
          <w:rFonts w:ascii="Times New Roman" w:hAnsi="Times New Roman" w:cs="Times New Roman"/>
          <w:sz w:val="24"/>
          <w:szCs w:val="24"/>
        </w:rPr>
        <w:t>ego PDL-1</w:t>
      </w:r>
      <w:r w:rsidRPr="00F764F8">
        <w:rPr>
          <w:rFonts w:ascii="Times New Roman" w:hAnsi="Times New Roman" w:cs="Times New Roman"/>
          <w:sz w:val="24"/>
          <w:szCs w:val="24"/>
        </w:rPr>
        <w:t xml:space="preserve"> + </w:t>
      </w:r>
      <w:r w:rsidR="008B47B1">
        <w:rPr>
          <w:rFonts w:ascii="Times New Roman" w:hAnsi="Times New Roman" w:cs="Times New Roman"/>
          <w:sz w:val="24"/>
          <w:szCs w:val="24"/>
        </w:rPr>
        <w:t>800</w:t>
      </w:r>
      <w:r w:rsidRPr="00F764F8">
        <w:rPr>
          <w:rFonts w:ascii="Times New Roman" w:hAnsi="Times New Roman" w:cs="Times New Roman"/>
          <w:sz w:val="24"/>
          <w:szCs w:val="24"/>
        </w:rPr>
        <w:t xml:space="preserve"> oznaczeń kontroli ujemn</w:t>
      </w:r>
      <w:r w:rsidR="008B47B1">
        <w:rPr>
          <w:rFonts w:ascii="Times New Roman" w:hAnsi="Times New Roman" w:cs="Times New Roman"/>
          <w:sz w:val="24"/>
          <w:szCs w:val="24"/>
        </w:rPr>
        <w:t>ej</w:t>
      </w:r>
      <w:r w:rsidRPr="00F764F8">
        <w:rPr>
          <w:rFonts w:ascii="Times New Roman" w:hAnsi="Times New Roman" w:cs="Times New Roman"/>
          <w:sz w:val="24"/>
          <w:szCs w:val="24"/>
        </w:rPr>
        <w:t>, odpowiedni</w:t>
      </w:r>
      <w:r w:rsidR="008B47B1">
        <w:rPr>
          <w:rFonts w:ascii="Times New Roman" w:hAnsi="Times New Roman" w:cs="Times New Roman"/>
          <w:sz w:val="24"/>
          <w:szCs w:val="24"/>
        </w:rPr>
        <w:t>ej</w:t>
      </w:r>
      <w:r w:rsidRPr="00F7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7B1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="008B47B1">
        <w:rPr>
          <w:rFonts w:ascii="Times New Roman" w:hAnsi="Times New Roman" w:cs="Times New Roman"/>
          <w:sz w:val="24"/>
          <w:szCs w:val="24"/>
        </w:rPr>
        <w:t>.</w:t>
      </w:r>
      <w:r w:rsidRPr="00F764F8">
        <w:rPr>
          <w:rFonts w:ascii="Times New Roman" w:hAnsi="Times New Roman" w:cs="Times New Roman"/>
          <w:sz w:val="24"/>
          <w:szCs w:val="24"/>
        </w:rPr>
        <w:t xml:space="preserve"> przeciwciał</w:t>
      </w:r>
      <w:r w:rsidR="008B47B1">
        <w:rPr>
          <w:rFonts w:ascii="Times New Roman" w:hAnsi="Times New Roman" w:cs="Times New Roman"/>
          <w:sz w:val="24"/>
          <w:szCs w:val="24"/>
        </w:rPr>
        <w:t>a</w:t>
      </w:r>
      <w:r w:rsidRPr="00F764F8">
        <w:rPr>
          <w:rFonts w:ascii="Times New Roman" w:hAnsi="Times New Roman" w:cs="Times New Roman"/>
          <w:sz w:val="24"/>
          <w:szCs w:val="24"/>
        </w:rPr>
        <w:t xml:space="preserve"> predykcyjn</w:t>
      </w:r>
      <w:r w:rsidR="008B47B1">
        <w:rPr>
          <w:rFonts w:ascii="Times New Roman" w:hAnsi="Times New Roman" w:cs="Times New Roman"/>
          <w:sz w:val="24"/>
          <w:szCs w:val="24"/>
        </w:rPr>
        <w:t>ego</w:t>
      </w:r>
      <w:r w:rsidRPr="00F764F8">
        <w:rPr>
          <w:rFonts w:ascii="Times New Roman" w:hAnsi="Times New Roman" w:cs="Times New Roman"/>
          <w:sz w:val="24"/>
          <w:szCs w:val="24"/>
        </w:rPr>
        <w:t xml:space="preserve">; w czasie trwania umowy (tj. </w:t>
      </w:r>
      <w:r w:rsidRPr="00F764F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764F8">
        <w:rPr>
          <w:rFonts w:ascii="Times New Roman" w:hAnsi="Times New Roman" w:cs="Times New Roman"/>
          <w:sz w:val="24"/>
          <w:szCs w:val="24"/>
        </w:rPr>
        <w:t>o 19 Listopada 2021 roku - od momentu podpisania) bez względu na umiejscowienie i wielkość skrawka badanego materiału.</w:t>
      </w:r>
    </w:p>
    <w:p w:rsidR="00AE3352" w:rsidRPr="00F764F8" w:rsidRDefault="00AE3352" w:rsidP="008B47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732" w:hanging="732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Dostarczone odczynniki i materiały (przeciwciała, system wizualizacyjny, bufory)</w:t>
      </w:r>
      <w:r>
        <w:rPr>
          <w:rFonts w:ascii="Times New Roman" w:hAnsi="Times New Roman" w:cs="Times New Roman"/>
          <w:sz w:val="24"/>
          <w:szCs w:val="24"/>
        </w:rPr>
        <w:t xml:space="preserve"> powinny być kompatybilne z aparatem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XT</w:t>
      </w:r>
    </w:p>
    <w:p w:rsidR="00262AC9" w:rsidRPr="00F764F8" w:rsidRDefault="00262AC9" w:rsidP="008B47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732" w:hanging="732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Kalkulacja ilości zużycia przeciwciał</w:t>
      </w:r>
      <w:r w:rsidR="008B47B1">
        <w:rPr>
          <w:rFonts w:ascii="Times New Roman" w:hAnsi="Times New Roman" w:cs="Times New Roman"/>
          <w:sz w:val="24"/>
          <w:szCs w:val="24"/>
        </w:rPr>
        <w:t>a</w:t>
      </w:r>
      <w:r w:rsidRPr="00F764F8">
        <w:rPr>
          <w:rFonts w:ascii="Times New Roman" w:hAnsi="Times New Roman" w:cs="Times New Roman"/>
          <w:sz w:val="24"/>
          <w:szCs w:val="24"/>
        </w:rPr>
        <w:t xml:space="preserve"> powinn</w:t>
      </w:r>
      <w:r w:rsidR="008B47B1">
        <w:rPr>
          <w:rFonts w:ascii="Times New Roman" w:hAnsi="Times New Roman" w:cs="Times New Roman"/>
          <w:sz w:val="24"/>
          <w:szCs w:val="24"/>
        </w:rPr>
        <w:t>a</w:t>
      </w:r>
      <w:r w:rsidRPr="00F764F8">
        <w:rPr>
          <w:rFonts w:ascii="Times New Roman" w:hAnsi="Times New Roman" w:cs="Times New Roman"/>
          <w:sz w:val="24"/>
          <w:szCs w:val="24"/>
        </w:rPr>
        <w:t xml:space="preserve"> uwzględniać tzw. martw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764F8">
        <w:rPr>
          <w:rFonts w:ascii="Times New Roman" w:hAnsi="Times New Roman" w:cs="Times New Roman"/>
          <w:sz w:val="24"/>
          <w:szCs w:val="24"/>
        </w:rPr>
        <w:t xml:space="preserve"> strefę (obszar opakowania zawierający odczynnik/przeciwciało niewykorzystane przez aparat) w dostarczonych opakowaniach.</w:t>
      </w:r>
    </w:p>
    <w:p w:rsidR="00262AC9" w:rsidRPr="00F764F8" w:rsidRDefault="00262AC9" w:rsidP="008B47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732" w:hanging="732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 xml:space="preserve">Zestaw do wizualizacji będzie zawierał (lub będzie rozszerzony) szkiełka dostosowane do barwień IHC  (szkiełka zapobiegające spływaniu preparatów podczas obróbki cieplnej) w ilości wystarczającej do wykonania </w:t>
      </w:r>
      <w:r w:rsidR="008B47B1">
        <w:rPr>
          <w:rFonts w:ascii="Times New Roman" w:hAnsi="Times New Roman" w:cs="Times New Roman"/>
          <w:sz w:val="24"/>
          <w:szCs w:val="24"/>
        </w:rPr>
        <w:t>1600</w:t>
      </w:r>
      <w:r w:rsidRPr="00F764F8">
        <w:rPr>
          <w:rFonts w:ascii="Times New Roman" w:hAnsi="Times New Roman" w:cs="Times New Roman"/>
          <w:sz w:val="24"/>
          <w:szCs w:val="24"/>
        </w:rPr>
        <w:t xml:space="preserve"> oznaczeń.</w:t>
      </w:r>
    </w:p>
    <w:p w:rsidR="00262AC9" w:rsidRPr="00F764F8" w:rsidRDefault="00262AC9" w:rsidP="008B47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732" w:hanging="732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Termin ważności zamawianych odczynników – co najmniej pół roku od daty dostawy.</w:t>
      </w:r>
    </w:p>
    <w:p w:rsidR="00262AC9" w:rsidRPr="00F764F8" w:rsidRDefault="00262AC9" w:rsidP="008B47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732" w:hanging="732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Każdy z odczynników winien być opatrzony certyfikatem zezwalającym na stosowanie w diagnostyce</w:t>
      </w:r>
      <w:r>
        <w:rPr>
          <w:rFonts w:ascii="Times New Roman" w:hAnsi="Times New Roman" w:cs="Times New Roman"/>
          <w:sz w:val="24"/>
          <w:szCs w:val="24"/>
        </w:rPr>
        <w:t xml:space="preserve"> i posiadać kartę charakterystyki substancji niebezpiecznych</w:t>
      </w:r>
      <w:r w:rsidRPr="00F764F8">
        <w:rPr>
          <w:rFonts w:ascii="Times New Roman" w:hAnsi="Times New Roman" w:cs="Times New Roman"/>
          <w:sz w:val="24"/>
          <w:szCs w:val="24"/>
        </w:rPr>
        <w:t>.</w:t>
      </w:r>
    </w:p>
    <w:p w:rsidR="00262AC9" w:rsidRPr="00F764F8" w:rsidRDefault="00262AC9" w:rsidP="008B47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732" w:hanging="732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 xml:space="preserve">Preferowane przeciwciała pierwotne w gotowych do użycia rozcieńczeniach (RTU) w pojemnikach umożliwiających bezpośrednie ich użycie bez potrzeby przelewania (gdy firma nie posiada takowych – musi dostarczyć opakowania umożliwiające użycie przeciwciał w systemie </w:t>
      </w:r>
      <w:proofErr w:type="spellStart"/>
      <w:r w:rsidRPr="00F764F8">
        <w:rPr>
          <w:rFonts w:ascii="Times New Roman" w:hAnsi="Times New Roman" w:cs="Times New Roman"/>
          <w:sz w:val="24"/>
          <w:szCs w:val="24"/>
        </w:rPr>
        <w:t>Benchmark</w:t>
      </w:r>
      <w:proofErr w:type="spellEnd"/>
      <w:r w:rsidRPr="00F764F8">
        <w:rPr>
          <w:rFonts w:ascii="Times New Roman" w:hAnsi="Times New Roman" w:cs="Times New Roman"/>
          <w:sz w:val="24"/>
          <w:szCs w:val="24"/>
        </w:rPr>
        <w:t xml:space="preserve"> XT).</w:t>
      </w:r>
    </w:p>
    <w:p w:rsidR="00262AC9" w:rsidRDefault="00262AC9" w:rsidP="008B47B1">
      <w:pPr>
        <w:pStyle w:val="Akapitzlist"/>
        <w:numPr>
          <w:ilvl w:val="0"/>
          <w:numId w:val="5"/>
        </w:numPr>
        <w:spacing w:before="0" w:line="240" w:lineRule="auto"/>
        <w:ind w:left="732" w:hanging="732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Wykonawca zaoferuje przeciwciał</w:t>
      </w:r>
      <w:r w:rsidR="009E265D">
        <w:rPr>
          <w:rFonts w:ascii="Times New Roman" w:hAnsi="Times New Roman" w:cs="Times New Roman"/>
          <w:sz w:val="24"/>
          <w:szCs w:val="24"/>
        </w:rPr>
        <w:t>o</w:t>
      </w:r>
      <w:r w:rsidRPr="00F764F8">
        <w:rPr>
          <w:rFonts w:ascii="Times New Roman" w:hAnsi="Times New Roman" w:cs="Times New Roman"/>
          <w:sz w:val="24"/>
          <w:szCs w:val="24"/>
        </w:rPr>
        <w:t>, któr</w:t>
      </w:r>
      <w:r w:rsidR="009E265D">
        <w:rPr>
          <w:rFonts w:ascii="Times New Roman" w:hAnsi="Times New Roman" w:cs="Times New Roman"/>
          <w:sz w:val="24"/>
          <w:szCs w:val="24"/>
        </w:rPr>
        <w:t>ego</w:t>
      </w:r>
      <w:r w:rsidRPr="00F764F8">
        <w:rPr>
          <w:rFonts w:ascii="Times New Roman" w:hAnsi="Times New Roman" w:cs="Times New Roman"/>
          <w:sz w:val="24"/>
          <w:szCs w:val="24"/>
        </w:rPr>
        <w:t xml:space="preserve"> klon </w:t>
      </w:r>
      <w:r w:rsidR="009E265D">
        <w:rPr>
          <w:rFonts w:ascii="Times New Roman" w:hAnsi="Times New Roman" w:cs="Times New Roman"/>
          <w:sz w:val="24"/>
          <w:szCs w:val="24"/>
        </w:rPr>
        <w:t>jest</w:t>
      </w:r>
      <w:r w:rsidRPr="00F764F8">
        <w:rPr>
          <w:rFonts w:ascii="Times New Roman" w:hAnsi="Times New Roman" w:cs="Times New Roman"/>
          <w:sz w:val="24"/>
          <w:szCs w:val="24"/>
        </w:rPr>
        <w:t xml:space="preserve"> pozytywnie zaopiniowan</w:t>
      </w:r>
      <w:r w:rsidR="009E265D">
        <w:rPr>
          <w:rFonts w:ascii="Times New Roman" w:hAnsi="Times New Roman" w:cs="Times New Roman"/>
          <w:sz w:val="24"/>
          <w:szCs w:val="24"/>
        </w:rPr>
        <w:t>y</w:t>
      </w:r>
      <w:bookmarkStart w:id="1" w:name="_GoBack"/>
      <w:bookmarkEnd w:id="1"/>
      <w:r w:rsidRPr="00F764F8">
        <w:rPr>
          <w:rFonts w:ascii="Times New Roman" w:hAnsi="Times New Roman" w:cs="Times New Roman"/>
          <w:sz w:val="24"/>
          <w:szCs w:val="24"/>
        </w:rPr>
        <w:t xml:space="preserve"> przez Ministerstwo Zdrowia.</w:t>
      </w:r>
    </w:p>
    <w:p w:rsidR="00262AC9" w:rsidRDefault="00262AC9" w:rsidP="008B47B1">
      <w:pPr>
        <w:pStyle w:val="Akapitzlist"/>
        <w:spacing w:before="0" w:line="240" w:lineRule="auto"/>
        <w:ind w:left="732" w:hanging="732"/>
        <w:rPr>
          <w:rFonts w:ascii="Times New Roman" w:hAnsi="Times New Roman" w:cs="Times New Roman"/>
          <w:sz w:val="24"/>
          <w:szCs w:val="24"/>
        </w:rPr>
      </w:pPr>
    </w:p>
    <w:p w:rsidR="00262AC9" w:rsidRDefault="00262AC9" w:rsidP="00262AC9">
      <w:pPr>
        <w:pStyle w:val="Akapitzlist"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>Niezależna zewnętrzna kontrola jakości polegająca na:</w:t>
      </w:r>
    </w:p>
    <w:p w:rsidR="00262AC9" w:rsidRPr="00F764F8" w:rsidRDefault="00262AC9" w:rsidP="00262AC9">
      <w:pPr>
        <w:pStyle w:val="Akapitzlist"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AC9" w:rsidRPr="00F764F8" w:rsidRDefault="00262AC9" w:rsidP="00262AC9">
      <w:pPr>
        <w:pStyle w:val="Akapitzlist"/>
        <w:numPr>
          <w:ilvl w:val="1"/>
          <w:numId w:val="2"/>
        </w:numPr>
        <w:tabs>
          <w:tab w:val="left" w:pos="-4820"/>
        </w:tabs>
        <w:suppressAutoHyphens/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Uczestnictwo w testach certyfikujących wykonywanie oznaczeń predykcyjnych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7B1">
        <w:rPr>
          <w:rFonts w:ascii="Times New Roman" w:hAnsi="Times New Roman" w:cs="Times New Roman"/>
          <w:sz w:val="24"/>
          <w:szCs w:val="24"/>
        </w:rPr>
        <w:t>PDL-1</w:t>
      </w:r>
      <w:r w:rsidRPr="00F764F8">
        <w:rPr>
          <w:rFonts w:ascii="Times New Roman" w:hAnsi="Times New Roman" w:cs="Times New Roman"/>
          <w:sz w:val="24"/>
          <w:szCs w:val="24"/>
        </w:rPr>
        <w:t xml:space="preserve"> w </w:t>
      </w:r>
      <w:r w:rsidRPr="00F764F8">
        <w:rPr>
          <w:rStyle w:val="Pogrubienie"/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ESP </w:t>
      </w:r>
      <w:proofErr w:type="spellStart"/>
      <w:r w:rsidRPr="00F764F8">
        <w:rPr>
          <w:rStyle w:val="Pogrubienie"/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Lung</w:t>
      </w:r>
      <w:proofErr w:type="spellEnd"/>
      <w:r w:rsidRPr="00F764F8">
        <w:rPr>
          <w:rStyle w:val="Pogrubienie"/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EQA </w:t>
      </w:r>
      <w:proofErr w:type="spellStart"/>
      <w:r w:rsidRPr="00F764F8">
        <w:rPr>
          <w:rStyle w:val="Pogrubienie"/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scheme</w:t>
      </w:r>
      <w:proofErr w:type="spellEnd"/>
      <w:r w:rsidRPr="00F764F8">
        <w:rPr>
          <w:rStyle w:val="Pogrubienie"/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(</w:t>
      </w:r>
      <w:proofErr w:type="spellStart"/>
      <w:r w:rsidRPr="00F764F8">
        <w:rPr>
          <w:rStyle w:val="Uwydatnienie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</w:rPr>
        <w:t>Lung</w:t>
      </w:r>
      <w:proofErr w:type="spellEnd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 </w:t>
      </w:r>
      <w:proofErr w:type="spellStart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External</w:t>
      </w:r>
      <w:proofErr w:type="spellEnd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Quality</w:t>
      </w:r>
      <w:proofErr w:type="spellEnd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Assessment</w:t>
      </w:r>
      <w:proofErr w:type="spellEnd"/>
      <w:r w:rsidRPr="00F764F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 </w:t>
      </w:r>
      <w:proofErr w:type="spellStart"/>
      <w:r w:rsidRPr="00F764F8">
        <w:rPr>
          <w:rStyle w:val="Uwydatnienie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</w:rPr>
        <w:t>Scheme</w:t>
      </w:r>
      <w:proofErr w:type="spellEnd"/>
      <w:r w:rsidRPr="00F764F8">
        <w:rPr>
          <w:rStyle w:val="Uwydatnienie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</w:rPr>
        <w:t>)</w:t>
      </w:r>
      <w:r w:rsidRPr="00F764F8">
        <w:rPr>
          <w:rStyle w:val="Pogrubienie"/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.</w:t>
      </w:r>
    </w:p>
    <w:p w:rsidR="00262AC9" w:rsidRDefault="00262AC9" w:rsidP="00262AC9">
      <w:pPr>
        <w:pStyle w:val="Akapitzlist"/>
        <w:numPr>
          <w:ilvl w:val="1"/>
          <w:numId w:val="2"/>
        </w:numPr>
        <w:tabs>
          <w:tab w:val="left" w:pos="-4820"/>
        </w:tabs>
        <w:suppressAutoHyphens/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>poradnictwie w zakresie ustawiania protokołów diagnostycznych</w:t>
      </w:r>
    </w:p>
    <w:p w:rsidR="00262AC9" w:rsidRPr="00F764F8" w:rsidRDefault="00262AC9" w:rsidP="00262AC9">
      <w:pPr>
        <w:pStyle w:val="Akapitzlist"/>
        <w:tabs>
          <w:tab w:val="left" w:pos="-4820"/>
        </w:tabs>
        <w:suppressAutoHyphens/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2AC9" w:rsidRPr="00F764F8" w:rsidRDefault="00262AC9" w:rsidP="00262AC9">
      <w:pPr>
        <w:pStyle w:val="Akapitzlist"/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>Materiały eksploatacyjne do drukar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ki kodów</w:t>
      </w:r>
      <w:r w:rsidRPr="00F764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2AC9" w:rsidRPr="00F764F8" w:rsidRDefault="00262AC9" w:rsidP="00262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 xml:space="preserve">Naklejki na szkiełka podstawowe do drukarki kodów </w:t>
      </w:r>
      <w:proofErr w:type="spellStart"/>
      <w:r w:rsidRPr="00F764F8">
        <w:rPr>
          <w:rFonts w:ascii="Times New Roman" w:hAnsi="Times New Roman" w:cs="Times New Roman"/>
          <w:b/>
          <w:sz w:val="24"/>
          <w:szCs w:val="24"/>
        </w:rPr>
        <w:t>Ebar</w:t>
      </w:r>
      <w:proofErr w:type="spellEnd"/>
      <w:r w:rsidRPr="00F764F8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F764F8">
        <w:rPr>
          <w:rFonts w:ascii="Times New Roman" w:hAnsi="Times New Roman" w:cs="Times New Roman"/>
          <w:sz w:val="24"/>
          <w:szCs w:val="24"/>
        </w:rPr>
        <w:t xml:space="preserve"> w takiej liczbie opakowań aby można było okleić </w:t>
      </w:r>
      <w:r w:rsidR="008B47B1">
        <w:rPr>
          <w:rFonts w:ascii="Times New Roman" w:hAnsi="Times New Roman" w:cs="Times New Roman"/>
          <w:sz w:val="24"/>
          <w:szCs w:val="24"/>
        </w:rPr>
        <w:t>1600</w:t>
      </w:r>
      <w:r w:rsidRPr="00F764F8">
        <w:rPr>
          <w:rFonts w:ascii="Times New Roman" w:hAnsi="Times New Roman" w:cs="Times New Roman"/>
          <w:sz w:val="24"/>
          <w:szCs w:val="24"/>
        </w:rPr>
        <w:t xml:space="preserve"> preparatów IHC.</w:t>
      </w:r>
    </w:p>
    <w:p w:rsidR="00262AC9" w:rsidRPr="00F764F8" w:rsidRDefault="00262AC9" w:rsidP="00262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64F8">
        <w:rPr>
          <w:rFonts w:ascii="Times New Roman" w:hAnsi="Times New Roman" w:cs="Times New Roman"/>
          <w:sz w:val="24"/>
          <w:szCs w:val="24"/>
        </w:rPr>
        <w:t xml:space="preserve">Taśma do drukarki kodów w takiej liczbie opakowań aby można było wydrukować </w:t>
      </w:r>
      <w:r w:rsidR="008B47B1">
        <w:rPr>
          <w:rFonts w:ascii="Times New Roman" w:hAnsi="Times New Roman" w:cs="Times New Roman"/>
          <w:sz w:val="24"/>
          <w:szCs w:val="24"/>
        </w:rPr>
        <w:t>1600</w:t>
      </w:r>
      <w:r w:rsidRPr="00F764F8">
        <w:rPr>
          <w:rFonts w:ascii="Times New Roman" w:hAnsi="Times New Roman" w:cs="Times New Roman"/>
          <w:sz w:val="24"/>
          <w:szCs w:val="24"/>
        </w:rPr>
        <w:t xml:space="preserve"> naklejek na szkiełka IHC.</w:t>
      </w:r>
    </w:p>
    <w:p w:rsidR="00262AC9" w:rsidRPr="00F4246D" w:rsidRDefault="00262AC9" w:rsidP="00262AC9">
      <w:pPr>
        <w:pStyle w:val="Akapitzlist"/>
        <w:ind w:firstLine="0"/>
        <w:rPr>
          <w:b/>
          <w:bCs/>
          <w:u w:val="single"/>
        </w:rPr>
      </w:pPr>
    </w:p>
    <w:p w:rsidR="00262AC9" w:rsidRPr="00F4246D" w:rsidRDefault="00262AC9" w:rsidP="00F4246D">
      <w:pPr>
        <w:pStyle w:val="Akapitzlist"/>
        <w:ind w:firstLine="0"/>
        <w:rPr>
          <w:b/>
          <w:bCs/>
          <w:u w:val="single"/>
        </w:rPr>
      </w:pPr>
    </w:p>
    <w:sectPr w:rsidR="00262AC9" w:rsidRPr="00F4246D" w:rsidSect="00FD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A14"/>
    <w:multiLevelType w:val="hybridMultilevel"/>
    <w:tmpl w:val="3E62B83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771F22"/>
    <w:multiLevelType w:val="hybridMultilevel"/>
    <w:tmpl w:val="2C2E3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B6609"/>
    <w:multiLevelType w:val="hybridMultilevel"/>
    <w:tmpl w:val="7F345FA6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31513EF"/>
    <w:multiLevelType w:val="hybridMultilevel"/>
    <w:tmpl w:val="DFF4469A"/>
    <w:lvl w:ilvl="0" w:tplc="808C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B1FE0"/>
    <w:multiLevelType w:val="hybridMultilevel"/>
    <w:tmpl w:val="21CA9ADA"/>
    <w:lvl w:ilvl="0" w:tplc="C0CCD64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46D"/>
    <w:rsid w:val="00262AC9"/>
    <w:rsid w:val="00785AA3"/>
    <w:rsid w:val="008B47B1"/>
    <w:rsid w:val="009E265D"/>
    <w:rsid w:val="00AE3352"/>
    <w:rsid w:val="00B0697A"/>
    <w:rsid w:val="00C30935"/>
    <w:rsid w:val="00D362C7"/>
    <w:rsid w:val="00F4246D"/>
    <w:rsid w:val="00F8022E"/>
    <w:rsid w:val="00FD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6D"/>
    <w:pPr>
      <w:spacing w:before="45"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4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246D"/>
    <w:rPr>
      <w:b/>
      <w:bCs/>
    </w:rPr>
  </w:style>
  <w:style w:type="character" w:styleId="Uwydatnienie">
    <w:name w:val="Emphasis"/>
    <w:basedOn w:val="Domylnaczcionkaakapitu"/>
    <w:uiPriority w:val="20"/>
    <w:qFormat/>
    <w:rsid w:val="00F424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mbuksa</cp:lastModifiedBy>
  <cp:revision>3</cp:revision>
  <dcterms:created xsi:type="dcterms:W3CDTF">2020-01-27T07:29:00Z</dcterms:created>
  <dcterms:modified xsi:type="dcterms:W3CDTF">2020-01-30T10:59:00Z</dcterms:modified>
</cp:coreProperties>
</file>