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C27A10" w:rsidRDefault="00D2582E" w:rsidP="0067348C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C27A10">
        <w:rPr>
          <w:rFonts w:ascii="Bookman Old Style" w:hAnsi="Bookman Old Style" w:cs="Arial"/>
          <w:b/>
          <w:lang w:eastAsia="zh-CN"/>
        </w:rPr>
        <w:t xml:space="preserve">Poznań, dnia </w:t>
      </w:r>
      <w:r w:rsidR="00307C38">
        <w:rPr>
          <w:rFonts w:ascii="Bookman Old Style" w:hAnsi="Bookman Old Style" w:cs="Arial"/>
          <w:b/>
          <w:lang w:eastAsia="zh-CN"/>
        </w:rPr>
        <w:t>12</w:t>
      </w:r>
      <w:r w:rsidR="007132A4" w:rsidRPr="00C27A10">
        <w:rPr>
          <w:rFonts w:ascii="Bookman Old Style" w:hAnsi="Bookman Old Style" w:cs="Arial"/>
          <w:b/>
          <w:lang w:eastAsia="zh-CN"/>
        </w:rPr>
        <w:t>.02.</w:t>
      </w:r>
      <w:r w:rsidR="00CB7090" w:rsidRPr="00C27A10">
        <w:rPr>
          <w:rFonts w:ascii="Bookman Old Style" w:hAnsi="Bookman Old Style" w:cs="Arial"/>
          <w:b/>
          <w:lang w:eastAsia="zh-CN"/>
        </w:rPr>
        <w:t>2019</w:t>
      </w:r>
      <w:r w:rsidRPr="00C27A10">
        <w:rPr>
          <w:rFonts w:ascii="Bookman Old Style" w:hAnsi="Bookman Old Style" w:cs="Arial"/>
          <w:b/>
          <w:lang w:eastAsia="zh-CN"/>
        </w:rPr>
        <w:t xml:space="preserve"> r.</w:t>
      </w:r>
    </w:p>
    <w:p w:rsidR="00A829A7" w:rsidRPr="00C27A10" w:rsidRDefault="00A829A7" w:rsidP="0067348C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</w:p>
    <w:p w:rsidR="00A829A7" w:rsidRPr="00C27A10" w:rsidRDefault="00A829A7" w:rsidP="0067348C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</w:p>
    <w:p w:rsidR="00160DFD" w:rsidRPr="00C27A10" w:rsidRDefault="00925D2D" w:rsidP="0067348C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C27A10">
        <w:rPr>
          <w:rFonts w:ascii="Bookman Old Style" w:hAnsi="Bookman Old Style" w:cs="Tahoma"/>
          <w:b/>
        </w:rPr>
        <w:t>Uczestnicy postępowania</w:t>
      </w:r>
    </w:p>
    <w:p w:rsidR="0089655B" w:rsidRPr="00C27A10" w:rsidRDefault="0089655B" w:rsidP="0067348C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A829A7" w:rsidRPr="00C27A10" w:rsidRDefault="00A829A7" w:rsidP="0067348C">
      <w:pPr>
        <w:spacing w:after="0" w:line="360" w:lineRule="auto"/>
        <w:rPr>
          <w:rFonts w:ascii="Bookman Old Style" w:hAnsi="Bookman Old Style"/>
        </w:rPr>
      </w:pPr>
    </w:p>
    <w:p w:rsidR="00692E04" w:rsidRPr="00C27A10" w:rsidRDefault="006D31A7" w:rsidP="0067348C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eastAsia="Times New Roman" w:hAnsi="Bookman Old Style"/>
          <w:sz w:val="22"/>
          <w:szCs w:val="22"/>
          <w:lang w:val="pl-PL" w:eastAsia="pl-PL"/>
        </w:rPr>
      </w:pPr>
      <w:r w:rsidRPr="00C27A10">
        <w:rPr>
          <w:rFonts w:ascii="Bookman Old Style" w:hAnsi="Bookman Old Style" w:cs="Arial"/>
          <w:sz w:val="22"/>
          <w:szCs w:val="22"/>
          <w:lang w:val="pl-PL"/>
        </w:rPr>
        <w:t>D</w:t>
      </w:r>
      <w:r w:rsidR="00A829A7" w:rsidRPr="00C27A10">
        <w:rPr>
          <w:rFonts w:ascii="Bookman Old Style" w:hAnsi="Bookman Old Style" w:cs="Arial"/>
          <w:sz w:val="22"/>
          <w:szCs w:val="22"/>
          <w:lang w:val="pl-PL"/>
        </w:rPr>
        <w:t>otyczy</w:t>
      </w:r>
      <w:r w:rsidRPr="00C27A10">
        <w:rPr>
          <w:rFonts w:ascii="Bookman Old Style" w:hAnsi="Bookman Old Style" w:cs="Arial"/>
          <w:sz w:val="22"/>
          <w:szCs w:val="22"/>
          <w:lang w:val="pl-PL"/>
        </w:rPr>
        <w:t xml:space="preserve">: </w:t>
      </w:r>
      <w:r w:rsidR="00A829A7" w:rsidRPr="00C27A10">
        <w:rPr>
          <w:rFonts w:ascii="Bookman Old Style" w:hAnsi="Bookman Old Style" w:cs="Arial"/>
          <w:sz w:val="22"/>
          <w:szCs w:val="22"/>
          <w:lang w:val="pl-PL"/>
        </w:rPr>
        <w:t>przetargu nieograniczonego</w:t>
      </w:r>
      <w:r w:rsidR="00E27958" w:rsidRPr="00C27A10">
        <w:rPr>
          <w:rFonts w:ascii="Bookman Old Style" w:hAnsi="Bookman Old Style" w:cs="Arial"/>
          <w:sz w:val="22"/>
          <w:szCs w:val="22"/>
          <w:lang w:val="pl-PL"/>
        </w:rPr>
        <w:t xml:space="preserve"> </w:t>
      </w:r>
      <w:r w:rsidR="00692E04" w:rsidRPr="00C27A10">
        <w:rPr>
          <w:rFonts w:ascii="Bookman Old Style" w:eastAsia="Times New Roman" w:hAnsi="Bookman Old Style"/>
          <w:sz w:val="22"/>
          <w:szCs w:val="22"/>
          <w:lang w:val="pl-PL" w:eastAsia="pl-PL"/>
        </w:rPr>
        <w:t>na wykonanie systemu zarządzania ruchem na terenie szpitala w Poznaniu</w:t>
      </w:r>
    </w:p>
    <w:p w:rsidR="00415C65" w:rsidRPr="00C27A10" w:rsidRDefault="00415C65" w:rsidP="0067348C">
      <w:pPr>
        <w:spacing w:after="0" w:line="360" w:lineRule="auto"/>
        <w:rPr>
          <w:rFonts w:ascii="Bookman Old Style" w:hAnsi="Bookman Old Style"/>
          <w:lang w:eastAsia="pl-PL"/>
        </w:rPr>
      </w:pPr>
    </w:p>
    <w:p w:rsidR="00415C65" w:rsidRPr="00C27A10" w:rsidRDefault="007132A4" w:rsidP="0067348C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  <w:b/>
        </w:rPr>
      </w:pPr>
      <w:r w:rsidRPr="00C27A10">
        <w:rPr>
          <w:rFonts w:ascii="Bookman Old Style" w:hAnsi="Bookman Old Style" w:cs="Tahoma"/>
          <w:b/>
        </w:rPr>
        <w:t>Działając z</w:t>
      </w:r>
      <w:r w:rsidR="00415C65" w:rsidRPr="00C27A10">
        <w:rPr>
          <w:rFonts w:ascii="Bookman Old Style" w:hAnsi="Bookman Old Style" w:cs="Tahoma"/>
          <w:b/>
        </w:rPr>
        <w:t xml:space="preserve">godnie z art. 38 ust. 1 ustawy Prawo Zamówień Publicznych z dnia 29 stycznia 2004 r. </w:t>
      </w:r>
      <w:r w:rsidR="00415C65" w:rsidRPr="00C27A10">
        <w:rPr>
          <w:rFonts w:ascii="Bookman Old Style" w:hAnsi="Bookman Old Style"/>
          <w:b/>
        </w:rPr>
        <w:t>(</w:t>
      </w:r>
      <w:proofErr w:type="spellStart"/>
      <w:r w:rsidR="00415C65" w:rsidRPr="00C27A10">
        <w:rPr>
          <w:rFonts w:ascii="Bookman Old Style" w:hAnsi="Bookman Old Style"/>
          <w:b/>
        </w:rPr>
        <w:t>j.t</w:t>
      </w:r>
      <w:proofErr w:type="spellEnd"/>
      <w:r w:rsidR="00415C65" w:rsidRPr="00C27A10">
        <w:rPr>
          <w:rFonts w:ascii="Bookman Old Style" w:hAnsi="Bookman Old Style"/>
          <w:b/>
        </w:rPr>
        <w:t xml:space="preserve">. Dz. U. z 2019 r. poz. 1843 ze </w:t>
      </w:r>
      <w:proofErr w:type="spellStart"/>
      <w:r w:rsidR="00415C65" w:rsidRPr="00C27A10">
        <w:rPr>
          <w:rFonts w:ascii="Bookman Old Style" w:hAnsi="Bookman Old Style"/>
          <w:b/>
        </w:rPr>
        <w:t>zm</w:t>
      </w:r>
      <w:proofErr w:type="spellEnd"/>
      <w:r w:rsidR="00415C65" w:rsidRPr="00C27A10">
        <w:rPr>
          <w:rFonts w:ascii="Bookman Old Style" w:hAnsi="Bookman Old Style"/>
          <w:b/>
        </w:rPr>
        <w:t>)</w:t>
      </w:r>
      <w:r w:rsidR="00226051" w:rsidRPr="00C27A10">
        <w:rPr>
          <w:rFonts w:ascii="Bookman Old Style" w:hAnsi="Bookman Old Style"/>
          <w:b/>
        </w:rPr>
        <w:t>,</w:t>
      </w:r>
      <w:r w:rsidR="00226051" w:rsidRPr="00C27A10">
        <w:rPr>
          <w:rFonts w:ascii="Bookman Old Style" w:hAnsi="Bookman Old Style" w:cs="Tahoma"/>
          <w:b/>
        </w:rPr>
        <w:t xml:space="preserve"> </w:t>
      </w:r>
      <w:r w:rsidR="00415C65" w:rsidRPr="00C27A10">
        <w:rPr>
          <w:rFonts w:ascii="Bookman Old Style" w:hAnsi="Bookman Old Style" w:cs="Tahoma"/>
          <w:b/>
        </w:rPr>
        <w:t>Zamawiający udziela wyjaśnień dotyczących Specyfikacji Istotnych Warunków Zamówienia.</w:t>
      </w:r>
    </w:p>
    <w:p w:rsidR="00415C65" w:rsidRPr="00C27A10" w:rsidRDefault="00415C65" w:rsidP="0067348C">
      <w:pPr>
        <w:spacing w:after="0" w:line="360" w:lineRule="auto"/>
        <w:rPr>
          <w:rFonts w:ascii="Bookman Old Style" w:hAnsi="Bookman Old Style"/>
          <w:b/>
          <w:lang w:eastAsia="pl-PL"/>
        </w:rPr>
      </w:pPr>
    </w:p>
    <w:p w:rsidR="00A829A7" w:rsidRPr="00C27A10" w:rsidRDefault="00A829A7" w:rsidP="0067348C">
      <w:pPr>
        <w:spacing w:after="0" w:line="360" w:lineRule="auto"/>
        <w:rPr>
          <w:rFonts w:ascii="Bookman Old Style" w:hAnsi="Bookman Old Style"/>
          <w:b/>
          <w:lang w:eastAsia="pl-PL"/>
        </w:rPr>
      </w:pPr>
      <w:r w:rsidRPr="00C27A10">
        <w:rPr>
          <w:rFonts w:ascii="Bookman Old Style" w:hAnsi="Bookman Old Style"/>
          <w:b/>
          <w:lang w:eastAsia="pl-PL"/>
        </w:rPr>
        <w:t>PYTANIA I ODPOWIEDZI:</w:t>
      </w:r>
    </w:p>
    <w:p w:rsidR="00870337" w:rsidRPr="00C27A10" w:rsidRDefault="00870337" w:rsidP="0067348C">
      <w:pPr>
        <w:pStyle w:val="Akapitzlist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C27A10">
        <w:rPr>
          <w:rFonts w:ascii="Bookman Old Style" w:hAnsi="Bookman Old Style"/>
          <w:b/>
          <w:sz w:val="22"/>
          <w:szCs w:val="22"/>
        </w:rPr>
        <w:t>ZESTAW I</w:t>
      </w:r>
    </w:p>
    <w:p w:rsidR="00577155" w:rsidRPr="00C27A10" w:rsidRDefault="00577155" w:rsidP="0067348C">
      <w:pPr>
        <w:pStyle w:val="Akapitzlist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>Pytanie 1.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u w:val="single"/>
        </w:rPr>
      </w:pPr>
      <w:r w:rsidRPr="00C27A10">
        <w:rPr>
          <w:rFonts w:ascii="Bookman Old Style" w:hAnsi="Bookman Old Style" w:cstheme="minorHAnsi"/>
          <w:b/>
          <w:color w:val="0070C0"/>
          <w:u w:val="single"/>
        </w:rPr>
        <w:t xml:space="preserve">W opisie technicznym, branża drogowa.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>Zamawiający wymaga wyniesionych na 12 cm wysepek z betonowej kostki brukowej, ograniczonej krawężnikiem betonowym.</w:t>
      </w:r>
    </w:p>
    <w:p w:rsidR="00870337" w:rsidRPr="00C27A10" w:rsidRDefault="00870337" w:rsidP="0067348C">
      <w:pPr>
        <w:pStyle w:val="Default"/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C27A10">
        <w:rPr>
          <w:rFonts w:ascii="Bookman Old Style" w:hAnsi="Bookman Old Style" w:cstheme="minorHAnsi"/>
          <w:sz w:val="22"/>
          <w:szCs w:val="22"/>
        </w:rPr>
        <w:t>Czy Zamawiający wyrazi zgodę na zastąpienie szczegółowo opisanych wysepek betonowych prefabrykowanymi, wysepkami metalowymi wykonanymi z blachy stalowej, ocynkowanej, poddanej procesowi galwanizacji, malowanej proszkowo, odpornej na korozję?</w:t>
      </w:r>
    </w:p>
    <w:p w:rsidR="00870337" w:rsidRPr="00C27A10" w:rsidRDefault="00870337" w:rsidP="0067348C">
      <w:pPr>
        <w:pStyle w:val="Default"/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  <w:r w:rsidRPr="00C27A10">
        <w:rPr>
          <w:rFonts w:ascii="Bookman Old Style" w:hAnsi="Bookman Old Style" w:cstheme="minorHAnsi"/>
          <w:sz w:val="22"/>
          <w:szCs w:val="22"/>
        </w:rPr>
        <w:t>Wysepki osadzone zostaną na istniejącej nawierzchni, trwale przytwierdzone do gruntu.   </w:t>
      </w:r>
    </w:p>
    <w:p w:rsidR="00870337" w:rsidRPr="00C27A10" w:rsidRDefault="00870337" w:rsidP="0067348C">
      <w:pPr>
        <w:pStyle w:val="Default"/>
        <w:spacing w:line="360" w:lineRule="auto"/>
        <w:jc w:val="both"/>
        <w:rPr>
          <w:rFonts w:ascii="Bookman Old Style" w:hAnsi="Bookman Old Style" w:cstheme="minorHAnsi"/>
          <w:sz w:val="22"/>
          <w:szCs w:val="22"/>
        </w:rPr>
      </w:pPr>
    </w:p>
    <w:p w:rsidR="00870337" w:rsidRPr="00295A88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295A88">
        <w:rPr>
          <w:rFonts w:ascii="Bookman Old Style" w:hAnsi="Bookman Old Style"/>
          <w:color w:val="00B0F0"/>
        </w:rPr>
        <w:t>Ad. 1. Zamawiający oczekuje wykonania wysepek zgodnie z projektem.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>Pytanie 2.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u w:val="single"/>
        </w:rPr>
      </w:pPr>
      <w:r w:rsidRPr="00C27A10">
        <w:rPr>
          <w:rFonts w:ascii="Bookman Old Style" w:hAnsi="Bookman Old Style" w:cstheme="minorHAnsi"/>
          <w:b/>
          <w:color w:val="0070C0"/>
          <w:u w:val="single"/>
        </w:rPr>
        <w:lastRenderedPageBreak/>
        <w:t>W Opisie technicznym pkt. 2.3 System parkingowy.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 xml:space="preserve">Minimalne wymagania automatu kasowego Zamawiający pisze: „Funkcja przedłużania przez użytkowników ważności posiadanej karty </w:t>
      </w:r>
      <w:proofErr w:type="spellStart"/>
      <w:r w:rsidRPr="00C27A10">
        <w:rPr>
          <w:rFonts w:ascii="Bookman Old Style" w:hAnsi="Bookman Old Style" w:cstheme="minorHAnsi"/>
        </w:rPr>
        <w:t>abonentowej</w:t>
      </w:r>
      <w:proofErr w:type="spellEnd"/>
      <w:r w:rsidRPr="00C27A10">
        <w:rPr>
          <w:rFonts w:ascii="Bookman Old Style" w:hAnsi="Bookman Old Style" w:cstheme="minorHAnsi"/>
        </w:rPr>
        <w:t xml:space="preserve">”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  <w:r w:rsidRPr="00C27A10">
        <w:rPr>
          <w:rFonts w:ascii="Bookman Old Style" w:hAnsi="Bookman Old Style" w:cstheme="minorHAnsi"/>
          <w:bCs/>
          <w:iCs/>
        </w:rPr>
        <w:t xml:space="preserve">Realizowane tej funkcjonalności wymaga stworzenia bazy danych użytkowników korzystających z kart zbliżeniowych (abonamentowych) w systemie parkingowym. Dalsza część dokumentacji tj. pkt. 2.4.1 System Kontroli Dostępu narzuca zamontowanie czytników kart zbliżeniowych tożsamych z istniejącymi na obiekcie i podłączenie ich do istniejącej kontroli dostępu. Jeżeli obsługa kart zbliżeniowych (abonamentowych) ma być realizowana w systemie kontroli dostępu Szpitala, wówczas nie jest możliwe realizowanie opisanej w wymaganiach funkcji. Wnosi się zatem o usunięcie tego zapisu.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 2 Przedłużenie ważności karty abonamentowej będzie się odbywało w istniejącym systemie szpitala.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>Pytanie 3.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/>
          <w:bCs/>
          <w:iCs/>
          <w:color w:val="0070C0"/>
          <w:u w:val="single"/>
        </w:rPr>
      </w:pPr>
      <w:r w:rsidRPr="00C27A10">
        <w:rPr>
          <w:rFonts w:ascii="Bookman Old Style" w:hAnsi="Bookman Old Style" w:cstheme="minorHAnsi"/>
          <w:b/>
          <w:color w:val="0070C0"/>
          <w:u w:val="single"/>
        </w:rPr>
        <w:t>W Opisie technicznym pkt. 2.3 System parkingowy.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 xml:space="preserve">System komputerowy.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C27A10">
        <w:rPr>
          <w:rFonts w:ascii="Bookman Old Style" w:hAnsi="Bookman Old Style" w:cstheme="minorHAnsi"/>
        </w:rPr>
        <w:t xml:space="preserve">Zamawiający pisze: „Funkcja przedłużania przez użytkowników ważności posiadanej karty </w:t>
      </w:r>
      <w:proofErr w:type="spellStart"/>
      <w:r w:rsidRPr="00C27A10">
        <w:rPr>
          <w:rFonts w:ascii="Bookman Old Style" w:hAnsi="Bookman Old Style" w:cstheme="minorHAnsi"/>
        </w:rPr>
        <w:t>abonentowej</w:t>
      </w:r>
      <w:proofErr w:type="spellEnd"/>
      <w:r w:rsidRPr="00C27A10">
        <w:rPr>
          <w:rFonts w:ascii="Bookman Old Style" w:hAnsi="Bookman Old Style" w:cstheme="minorHAnsi"/>
        </w:rPr>
        <w:t>” Niemożliwa jest wjazd dwóch pojazdów na tą samą kartę”.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  <w:bookmarkStart w:id="0" w:name="_GoBack"/>
      <w:bookmarkEnd w:id="0"/>
      <w:r w:rsidRPr="00C27A10">
        <w:rPr>
          <w:rFonts w:ascii="Bookman Old Style" w:hAnsi="Bookman Old Style" w:cstheme="minorHAnsi"/>
          <w:bCs/>
          <w:iCs/>
        </w:rPr>
        <w:t>Realizowane tej funkcjonalności nie jest możliwe przy spełnieniu wymogu Opisu technicznego tj. konieczności podłączenia czytników do kontroli dostępu Szpitala. Baza danych systemu parkingowego nie będzie posiadała żadnych rekordów związanych z odczytem kart zbliżeniowych (abonamentowych). Wnosi się zatem o usunięcie tego zapisu.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 3. Przedłużenie ważności karty abonamentowej będzie się odbywało w istniejącym systemie szpitala.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eastAsiaTheme="minorHAnsi" w:hAnsi="Bookman Old Style" w:cstheme="minorHAnsi"/>
        </w:rPr>
      </w:pPr>
      <w:r w:rsidRPr="00C27A10">
        <w:rPr>
          <w:rFonts w:ascii="Bookman Old Style" w:eastAsiaTheme="minorHAnsi" w:hAnsi="Bookman Old Style" w:cstheme="minorHAnsi"/>
        </w:rPr>
        <w:t>Pytanie 4.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  <w:r w:rsidRPr="00C27A10">
        <w:rPr>
          <w:rFonts w:ascii="Bookman Old Style" w:hAnsi="Bookman Old Style" w:cstheme="minorHAnsi"/>
          <w:bCs/>
          <w:iCs/>
        </w:rPr>
        <w:lastRenderedPageBreak/>
        <w:t>W związku z koniecznością rozbudowy Systemu kontroli dostępu prosimy o doprecyzowanie jakich czytników kart kontroli dostępu, oraz kontrolerów dla czytników wymaga Zamawiający? Ponadto prosimy o podanie nazwy Podmiotu odpowiedzialnego za świadczenie usług w zakresie kontroli dostępu zainstalowanej w Szpitalu.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 w:cstheme="minorHAnsi"/>
          <w:bCs/>
          <w:iCs/>
        </w:rPr>
      </w:pPr>
    </w:p>
    <w:p w:rsidR="00870337" w:rsidRPr="00C27A10" w:rsidRDefault="00870337" w:rsidP="0067348C">
      <w:pPr>
        <w:spacing w:after="0" w:line="360" w:lineRule="auto"/>
        <w:rPr>
          <w:rFonts w:ascii="Bookman Old Style" w:hAnsi="Bookman Old Style"/>
          <w:color w:val="00B0F0"/>
          <w:shd w:val="clear" w:color="auto" w:fill="FFFFFF"/>
        </w:rPr>
      </w:pPr>
      <w:r w:rsidRPr="00C27A10">
        <w:rPr>
          <w:rFonts w:ascii="Bookman Old Style" w:hAnsi="Bookman Old Style"/>
          <w:color w:val="00B0F0"/>
        </w:rPr>
        <w:t xml:space="preserve">Ad. 4. </w:t>
      </w:r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Zamawiający posiada system kontroli dostępu </w:t>
      </w:r>
      <w:proofErr w:type="spellStart"/>
      <w:r w:rsidRPr="00C27A10">
        <w:rPr>
          <w:rFonts w:ascii="Bookman Old Style" w:hAnsi="Bookman Old Style"/>
          <w:color w:val="00B0F0"/>
          <w:shd w:val="clear" w:color="auto" w:fill="FFFFFF"/>
        </w:rPr>
        <w:t>SiPass</w:t>
      </w:r>
      <w:proofErr w:type="spellEnd"/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 </w:t>
      </w:r>
      <w:proofErr w:type="spellStart"/>
      <w:r w:rsidRPr="00C27A10">
        <w:rPr>
          <w:rFonts w:ascii="Bookman Old Style" w:hAnsi="Bookman Old Style"/>
          <w:color w:val="00B0F0"/>
          <w:shd w:val="clear" w:color="auto" w:fill="FFFFFF"/>
        </w:rPr>
        <w:t>Entro</w:t>
      </w:r>
      <w:proofErr w:type="spellEnd"/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 firmy Siemens zarządzany przez dział IT zamawiającego. Współpracuje on z kartami w standardzie </w:t>
      </w:r>
      <w:proofErr w:type="spellStart"/>
      <w:r w:rsidRPr="00C27A10">
        <w:rPr>
          <w:rFonts w:ascii="Bookman Old Style" w:hAnsi="Bookman Old Style"/>
          <w:color w:val="00B0F0"/>
          <w:shd w:val="clear" w:color="auto" w:fill="FFFFFF"/>
        </w:rPr>
        <w:t>MiFare</w:t>
      </w:r>
      <w:proofErr w:type="spellEnd"/>
      <w:r w:rsidRPr="00C27A10">
        <w:rPr>
          <w:rFonts w:ascii="Bookman Old Style" w:hAnsi="Bookman Old Style"/>
          <w:color w:val="00B0F0"/>
          <w:shd w:val="clear" w:color="auto" w:fill="FFFFFF"/>
        </w:rPr>
        <w:t> 1K. Czytniki kart kompatybilne z czytnikami Vanderbilt VR-20M-MF, kontrolery zgodne z kontrolerem DC22 MK3.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333333"/>
          <w:shd w:val="clear" w:color="auto" w:fill="FFFFFF"/>
        </w:rPr>
      </w:pPr>
    </w:p>
    <w:p w:rsidR="00870337" w:rsidRPr="00C27A10" w:rsidRDefault="00870337" w:rsidP="0067348C">
      <w:pPr>
        <w:pStyle w:val="Akapitzlist"/>
        <w:spacing w:line="360" w:lineRule="auto"/>
        <w:jc w:val="center"/>
        <w:rPr>
          <w:rFonts w:ascii="Bookman Old Style" w:hAnsi="Bookman Old Style"/>
          <w:b/>
          <w:color w:val="333333"/>
          <w:sz w:val="22"/>
          <w:szCs w:val="22"/>
          <w:shd w:val="clear" w:color="auto" w:fill="FFFFFF"/>
        </w:rPr>
      </w:pPr>
      <w:r w:rsidRPr="00C27A10">
        <w:rPr>
          <w:rFonts w:ascii="Bookman Old Style" w:hAnsi="Bookman Old Style"/>
          <w:b/>
          <w:color w:val="333333"/>
          <w:sz w:val="22"/>
          <w:szCs w:val="22"/>
          <w:shd w:val="clear" w:color="auto" w:fill="FFFFFF"/>
        </w:rPr>
        <w:t>ZESTAW II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Pytanie 1: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Wymogiem dla terminali wjazdowych i wyjazdowych jest montaż czytników kart zintegrowanych z systemem szpitala.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System </w:t>
      </w:r>
      <w:proofErr w:type="spellStart"/>
      <w:r w:rsidRPr="00C27A10">
        <w:rPr>
          <w:rFonts w:ascii="Bookman Old Style" w:hAnsi="Bookman Old Style"/>
        </w:rPr>
        <w:t>SiPass</w:t>
      </w:r>
      <w:proofErr w:type="spellEnd"/>
      <w:r w:rsidRPr="00C27A10">
        <w:rPr>
          <w:rFonts w:ascii="Bookman Old Style" w:hAnsi="Bookman Old Style"/>
        </w:rPr>
        <w:t xml:space="preserve"> </w:t>
      </w:r>
      <w:proofErr w:type="spellStart"/>
      <w:r w:rsidRPr="00C27A10">
        <w:rPr>
          <w:rFonts w:ascii="Bookman Old Style" w:hAnsi="Bookman Old Style"/>
        </w:rPr>
        <w:t>Entro</w:t>
      </w:r>
      <w:proofErr w:type="spellEnd"/>
      <w:r w:rsidRPr="00C27A10">
        <w:rPr>
          <w:rFonts w:ascii="Bookman Old Style" w:hAnsi="Bookman Old Style"/>
        </w:rPr>
        <w:t xml:space="preserve"> używany przez Zamawiającego jest systemem niewspieranym obecnie przez producenta rozwiązania. Wiąże się to ze słabą dostępnością części wymaganych do funkcjonowania systemu obecnie i dla przyszłych problemów oraz prac serwisowych z systemem czytników i kontrolerów.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Jednym z elementów oceny oferty jest okres gwarancji, minimum 60 miesięcy. Zamawiający wskazuje na konkretne rozwiązanie, niewspierane przez producenta systemu </w:t>
      </w:r>
      <w:proofErr w:type="spellStart"/>
      <w:r w:rsidRPr="00C27A10">
        <w:rPr>
          <w:rFonts w:ascii="Bookman Old Style" w:hAnsi="Bookman Old Style"/>
        </w:rPr>
        <w:t>SiPass</w:t>
      </w:r>
      <w:proofErr w:type="spellEnd"/>
      <w:r w:rsidRPr="00C27A10">
        <w:rPr>
          <w:rFonts w:ascii="Bookman Old Style" w:hAnsi="Bookman Old Style"/>
        </w:rPr>
        <w:t xml:space="preserve"> </w:t>
      </w:r>
      <w:proofErr w:type="spellStart"/>
      <w:r w:rsidRPr="00C27A10">
        <w:rPr>
          <w:rFonts w:ascii="Bookman Old Style" w:hAnsi="Bookman Old Style"/>
        </w:rPr>
        <w:t>Entro</w:t>
      </w:r>
      <w:proofErr w:type="spellEnd"/>
      <w:r w:rsidRPr="00C27A10">
        <w:rPr>
          <w:rFonts w:ascii="Bookman Old Style" w:hAnsi="Bookman Old Style"/>
        </w:rPr>
        <w:t xml:space="preserve">  oraz niezależnych producentów systemów parkingowych. Taki zapis automatycznie wyklucza wszystkich producentów systemów parkingowych, chcących startować w postępowaniu.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Zgodnie z powyższym proponujemy: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Dopuszczenie wykorzystania istniejących w systemie kart, lecz nie integrowania czytników w terminalach z systemem szpitala. Rozwiązaniem alternatywnym jest sprawdzanie uprawnień do wjazdu odbywające  się poprzez np. generowaną przez Zamawiającego bazę danych numerów kart i uprawnień do wjazdu w dowolnym </w:t>
      </w:r>
      <w:r w:rsidRPr="00C27A10">
        <w:rPr>
          <w:rFonts w:ascii="Bookman Old Style" w:hAnsi="Bookman Old Style"/>
        </w:rPr>
        <w:lastRenderedPageBreak/>
        <w:t xml:space="preserve">formacie dla systemów parkingowych. W terminalach będą pracować czytniki producenta systemu parkingowego (odczytujące karty szpitalne) połączone z generowaną bazą danych, a nie bezpośrednio z systemem </w:t>
      </w:r>
      <w:proofErr w:type="spellStart"/>
      <w:r w:rsidRPr="00C27A10">
        <w:rPr>
          <w:rFonts w:ascii="Bookman Old Style" w:hAnsi="Bookman Old Style"/>
        </w:rPr>
        <w:t>SiPass</w:t>
      </w:r>
      <w:proofErr w:type="spellEnd"/>
      <w:r w:rsidRPr="00C27A10">
        <w:rPr>
          <w:rFonts w:ascii="Bookman Old Style" w:hAnsi="Bookman Old Style"/>
        </w:rPr>
        <w:t xml:space="preserve"> </w:t>
      </w:r>
      <w:proofErr w:type="spellStart"/>
      <w:r w:rsidRPr="00C27A10">
        <w:rPr>
          <w:rFonts w:ascii="Bookman Old Style" w:hAnsi="Bookman Old Style"/>
        </w:rPr>
        <w:t>Entro</w:t>
      </w:r>
      <w:proofErr w:type="spellEnd"/>
      <w:r w:rsidRPr="00C27A10">
        <w:rPr>
          <w:rFonts w:ascii="Bookman Old Style" w:hAnsi="Bookman Old Style"/>
        </w:rPr>
        <w:t>. Pozwoli to producentom systemów parkingowych zapewnić pewną pracę systemu oraz wymaganą gwarancję i dostępność części serwisowych.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Prosimy o podanie specyfikacji kart funkcjonujących na terenie szpitala.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80578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B0F0"/>
          <w:sz w:val="22"/>
          <w:szCs w:val="22"/>
          <w:shd w:val="clear" w:color="auto" w:fill="FFFFFF"/>
        </w:rPr>
      </w:pPr>
      <w:r w:rsidRPr="00C27A10">
        <w:rPr>
          <w:rFonts w:ascii="Bookman Old Style" w:hAnsi="Bookman Old Style"/>
          <w:color w:val="00B0F0"/>
          <w:sz w:val="22"/>
          <w:szCs w:val="22"/>
          <w:shd w:val="clear" w:color="auto" w:fill="FFFFFF"/>
        </w:rPr>
        <w:t xml:space="preserve">Ad. 1. Do prawidłowej realizacji punktu związanego z rozbudową systemu </w:t>
      </w:r>
      <w:proofErr w:type="spellStart"/>
      <w:r w:rsidRPr="00C27A10">
        <w:rPr>
          <w:rFonts w:ascii="Bookman Old Style" w:hAnsi="Bookman Old Style"/>
          <w:color w:val="00B0F0"/>
          <w:sz w:val="22"/>
          <w:szCs w:val="22"/>
          <w:shd w:val="clear" w:color="auto" w:fill="FFFFFF"/>
        </w:rPr>
        <w:t>SiPass</w:t>
      </w:r>
      <w:proofErr w:type="spellEnd"/>
      <w:r w:rsidRPr="00C27A10">
        <w:rPr>
          <w:rFonts w:ascii="Bookman Old Style" w:hAnsi="Bookman Old Style"/>
          <w:color w:val="00B0F0"/>
          <w:sz w:val="22"/>
          <w:szCs w:val="22"/>
          <w:shd w:val="clear" w:color="auto" w:fill="FFFFFF"/>
        </w:rPr>
        <w:t xml:space="preserve"> </w:t>
      </w:r>
      <w:proofErr w:type="spellStart"/>
      <w:r w:rsidRPr="00C27A10">
        <w:rPr>
          <w:rFonts w:ascii="Bookman Old Style" w:hAnsi="Bookman Old Style"/>
          <w:color w:val="00B0F0"/>
          <w:sz w:val="22"/>
          <w:szCs w:val="22"/>
          <w:shd w:val="clear" w:color="auto" w:fill="FFFFFF"/>
        </w:rPr>
        <w:t>Entro</w:t>
      </w:r>
      <w:proofErr w:type="spellEnd"/>
      <w:r w:rsidRPr="00C27A10">
        <w:rPr>
          <w:rFonts w:ascii="Bookman Old Style" w:hAnsi="Bookman Old Style"/>
          <w:color w:val="00B0F0"/>
          <w:sz w:val="22"/>
          <w:szCs w:val="22"/>
          <w:shd w:val="clear" w:color="auto" w:fill="FFFFFF"/>
        </w:rPr>
        <w:t xml:space="preserve"> niezbędne są dodatkowe urządzenia. Są to czytniki kompatybilne z czytnikami Vanderbilt VR-20M-MF oraz kontrolery zgodne z  kontrolerem DC22 MK3. Wymienione urządzenia są wspierane przez producenta rozwiązania Vanderbilt i dostępne dla producentów systemów  parkingowych. </w:t>
      </w:r>
    </w:p>
    <w:p w:rsidR="00870337" w:rsidRPr="00C27A10" w:rsidRDefault="00870337" w:rsidP="0067348C">
      <w:pPr>
        <w:pStyle w:val="Akapitzlist"/>
        <w:spacing w:line="360" w:lineRule="auto"/>
        <w:jc w:val="both"/>
        <w:rPr>
          <w:rFonts w:ascii="Bookman Old Style" w:hAnsi="Bookman Old Style"/>
          <w:color w:val="333333"/>
          <w:sz w:val="22"/>
          <w:szCs w:val="22"/>
          <w:shd w:val="clear" w:color="auto" w:fill="FFFFFF"/>
        </w:rPr>
      </w:pPr>
    </w:p>
    <w:p w:rsidR="00870337" w:rsidRPr="00C27A10" w:rsidRDefault="00870337" w:rsidP="0067348C">
      <w:pPr>
        <w:pStyle w:val="Akapitzlist"/>
        <w:spacing w:line="360" w:lineRule="auto"/>
        <w:jc w:val="center"/>
        <w:rPr>
          <w:rFonts w:ascii="Bookman Old Style" w:hAnsi="Bookman Old Style"/>
          <w:b/>
          <w:color w:val="333333"/>
          <w:sz w:val="22"/>
          <w:szCs w:val="22"/>
          <w:shd w:val="clear" w:color="auto" w:fill="FFFFFF"/>
        </w:rPr>
      </w:pPr>
      <w:r w:rsidRPr="00C27A10">
        <w:rPr>
          <w:rFonts w:ascii="Bookman Old Style" w:hAnsi="Bookman Old Style"/>
          <w:b/>
          <w:color w:val="333333"/>
          <w:sz w:val="22"/>
          <w:szCs w:val="22"/>
          <w:shd w:val="clear" w:color="auto" w:fill="FFFFFF"/>
        </w:rPr>
        <w:t>ZESTAW III</w:t>
      </w:r>
    </w:p>
    <w:p w:rsidR="00870337" w:rsidRPr="00C27A10" w:rsidRDefault="00870337" w:rsidP="0067348C">
      <w:pPr>
        <w:pStyle w:val="Akapitzlist"/>
        <w:spacing w:line="360" w:lineRule="auto"/>
        <w:jc w:val="center"/>
        <w:rPr>
          <w:rFonts w:ascii="Bookman Old Style" w:hAnsi="Bookman Old Style"/>
          <w:b/>
          <w:color w:val="333333"/>
          <w:sz w:val="22"/>
          <w:szCs w:val="22"/>
          <w:shd w:val="clear" w:color="auto" w:fill="FFFFFF"/>
        </w:rPr>
      </w:pPr>
    </w:p>
    <w:p w:rsidR="00870337" w:rsidRPr="00C27A10" w:rsidRDefault="00870337" w:rsidP="00C27A1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color w:val="0070C0"/>
          <w:sz w:val="22"/>
          <w:szCs w:val="22"/>
          <w:u w:val="single"/>
          <w:shd w:val="clear" w:color="auto" w:fill="FFFFFF"/>
        </w:rPr>
      </w:pPr>
      <w:r w:rsidRPr="00C27A10">
        <w:rPr>
          <w:rFonts w:ascii="Bookman Old Style" w:hAnsi="Bookman Old Style"/>
          <w:b/>
          <w:color w:val="0070C0"/>
          <w:sz w:val="22"/>
          <w:szCs w:val="22"/>
          <w:u w:val="single"/>
          <w:shd w:val="clear" w:color="auto" w:fill="FFFFFF"/>
        </w:rPr>
        <w:t>Branża drogowa</w:t>
      </w:r>
    </w:p>
    <w:p w:rsidR="00870337" w:rsidRPr="00C27A10" w:rsidRDefault="00870337" w:rsidP="0067348C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W opisie technicznym branży drogowej napisano, że „Linia ogrodzenia w strefie B wymaga korekty”. Natomiast w opisie technicznym do projektu budowlano-wykonawczego roboty rozbiórkowe i remontowe założono rozebranie bramy przesuwnej wraz z osprzętem. Ponadto metalowa brama wjazdowa została przewidziana do złomowania. Prosimy o doprecyzowanie zapisów dotyczących korekty linii ogrodzenia w strefie B.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Ad.1. </w:t>
      </w:r>
      <w:r w:rsidRPr="00C27A10">
        <w:rPr>
          <w:rFonts w:ascii="Bookman Old Style" w:hAnsi="Bookman Old Style"/>
          <w:color w:val="00B0F0"/>
        </w:rPr>
        <w:t xml:space="preserve">Istniejąca brama jest elementem składowym ogrodzenia. Korekta polega na rozbiórce zgodnej z opisem i kosztorysem.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</w:p>
    <w:p w:rsidR="00870337" w:rsidRPr="00C27A10" w:rsidRDefault="00870337" w:rsidP="0067348C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Prosimy o wyjaśnienie, czy Zamawiający dopuszcza nieznaczną korektę lokalizacji i długości wyniesionej wysepki w strefie A (wjazd od ul. Grodziskiej) zgodnie ze schematem przedstawionym poniżej.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  <w:noProof/>
          <w:lang w:eastAsia="pl-PL"/>
        </w:rPr>
        <w:lastRenderedPageBreak/>
        <w:drawing>
          <wp:inline distT="0" distB="0" distL="0" distR="0">
            <wp:extent cx="3009900" cy="172333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39" cy="172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Powyższe rozwiązanie skutkuje brakiem konieczności układania krawężnika przejściowego pod bramą wjazdową (początek wyspy na wysokości lampy oświetleniowej) oraz jej zakończenie przed pierwszym miejscem postojowym.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Ad.2. Wysepkę należy wykonać zgodnie z projektem.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Prosimy o wyjaśnienie dotyczące docelowej organizacji ruchu na terenie szpitala (jezdnia równoległa do ul. Szamarzewskiego po wschodniej stronie od strefy B).  Projekt organizacji ruchu nie uwzględnia organizacji ruchu na terenie całego obszaru.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  <w:noProof/>
          <w:lang w:eastAsia="pl-PL"/>
        </w:rPr>
        <w:drawing>
          <wp:inline distT="0" distB="0" distL="0" distR="0">
            <wp:extent cx="3469431" cy="1592035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317" cy="159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Pozostawienie możliwości wyjazdu, przy założeniu powyższego toru ruchu pojazdów, może skutkować wieloma kolizjami z systemem parkingowym oraz powodować utrudnienia związane z dojazdem do parkingu.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lastRenderedPageBreak/>
        <w:t xml:space="preserve">Ad.3. Zakres przedmiotu zamówienia objętego postępowaniem przetargowym jest zgodny z zakresem zawartym w opracowaniu projektowym i nie obejmuje organizacji ruchu na terenie całego szpitala, lecz przebudowę wjazdów/wyjazdów na teren szpitala i włączenie się w istniejący układ dróg na terenie szpitala.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W strefie C wskazano dwie równoległe krawędzie istniejącej jezdni (w tym jedną do likwidacji). Przekrój normalny nie zakłada rozbiórki istniejącego krawężnika/obrzeża w tym miejscu. Prosimy o wyjaśnienie zakresu przewidzianych robót budowlanych.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Ad.4. Na przekroju normalnym C-C przedstawiono stan po przebudowie. Skrajne krawężniki drogowe na przekroju (z lewej i prawej strony), to krawężniki istniejące. Na rys. nr D-3.3 „Plan sytuacyjny - strefa C” został zaznaczony krawężnik istniejący przeznaczony do rozbiórki. W przedmiarze robót uwzględniono rozbiórki krawężników. Zalecana wizja lokalna w terenie.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b/>
          <w:color w:val="0070C0"/>
          <w:u w:val="single"/>
        </w:rPr>
      </w:pPr>
      <w:r w:rsidRPr="00C27A10">
        <w:rPr>
          <w:rFonts w:ascii="Bookman Old Style" w:hAnsi="Bookman Old Style"/>
          <w:b/>
          <w:color w:val="0070C0"/>
          <w:u w:val="single"/>
        </w:rPr>
        <w:t>Pytania do systemu parkingowego i systemu KD: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Prosimy o wyjaśnienie dlaczego Zamawiający w postępowaniu wskazuje dostawę konkretnego oprogramowania posługując się nazwą własną producenta parkingowego? System Total </w:t>
      </w:r>
      <w:proofErr w:type="spellStart"/>
      <w:r w:rsidRPr="00C27A10">
        <w:rPr>
          <w:rFonts w:ascii="Bookman Old Style" w:hAnsi="Bookman Old Style"/>
        </w:rPr>
        <w:t>Control</w:t>
      </w:r>
      <w:proofErr w:type="spellEnd"/>
      <w:r w:rsidRPr="00C27A10">
        <w:rPr>
          <w:rFonts w:ascii="Bookman Old Style" w:hAnsi="Bookman Old Style"/>
        </w:rPr>
        <w:t xml:space="preserve"> Parking jest systemem operacyjnym firmy PROPARK. </w:t>
      </w:r>
      <w:r w:rsidRPr="00C27A10">
        <w:rPr>
          <w:rFonts w:ascii="Bookman Old Style" w:hAnsi="Bookman Old Style"/>
          <w:u w:val="single"/>
        </w:rPr>
        <w:t>Wskazanie konkretnego oprogramowania w myśl Zamówienia Publicznego jest naruszeniem zasad uczciwej konkurencji.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 1. Zarzut o naruszeniu zasad uczciwej konkurencji jest bezpodstawny, ponieważ w opisie technicznym (str. 35) zamawiający dopuszcza możliwość zastosowania innych rozwiązań i materiałów niż określone w projekcie, i podaje warunki jakie trzeba spełnić w przypadku wprowadzenia rozwiązań (materiałów, urządzeń) zamiennych. 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lastRenderedPageBreak/>
        <w:t xml:space="preserve">Co Zamawiający rozumie przez pulpit </w:t>
      </w:r>
      <w:proofErr w:type="spellStart"/>
      <w:r w:rsidRPr="00C27A10">
        <w:rPr>
          <w:rFonts w:ascii="Bookman Old Style" w:hAnsi="Bookman Old Style"/>
        </w:rPr>
        <w:t>rozmówny</w:t>
      </w:r>
      <w:proofErr w:type="spellEnd"/>
      <w:r w:rsidRPr="00C27A10">
        <w:rPr>
          <w:rFonts w:ascii="Bookman Old Style" w:hAnsi="Bookman Old Style"/>
        </w:rPr>
        <w:t>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Ad.2. Pulpit w portierni musi być wyposażony w zestaw głośnomówiący – przycisk realizujący połączenie telefoniczne, mikrofon i głośnik. Zamawiający nie dopuszcza prowadzenia rozmów przez portiera za pomocą słuchawki telefonicznej.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Jakiego rodzaju aplikacje Mobilną ma na myśli Zamawiający, czy ma to być aplikacja powiązana z systemem parkingowym? Jeśli tak to prosimy o wskazanie protokołów komunikacyjnych dla aplikacji mobilnej.</w:t>
      </w: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Czy zamawiający posiada usługę płatności mobilną lub zamierza taką usługę wykupić czy wymaga od wykonawcy dostarczenia takiego rozwiązania?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B0F0"/>
          <w:sz w:val="22"/>
          <w:szCs w:val="22"/>
        </w:rPr>
      </w:pPr>
      <w:r w:rsidRPr="00C27A10">
        <w:rPr>
          <w:rFonts w:ascii="Bookman Old Style" w:hAnsi="Bookman Old Style"/>
          <w:color w:val="00B0F0"/>
          <w:sz w:val="22"/>
          <w:szCs w:val="22"/>
        </w:rPr>
        <w:t>Ad.3 i 4. Zamawiający wskazał aplikację mobilną jako rozwiązanie opcjonalne i jako takie nie wchodzi w zakres zamówienia. Zamawiający wymaga aby zainstalowany system parkingowy posiadał funkcjonalności umożliwiające w przyszłości uruchomienie tej usługi.</w:t>
      </w:r>
    </w:p>
    <w:p w:rsidR="00870337" w:rsidRPr="00C27A10" w:rsidRDefault="00870337" w:rsidP="0067348C">
      <w:pPr>
        <w:pStyle w:val="Akapitzlist"/>
        <w:spacing w:line="360" w:lineRule="auto"/>
        <w:jc w:val="both"/>
        <w:rPr>
          <w:rFonts w:ascii="Bookman Old Style" w:hAnsi="Bookman Old Style"/>
          <w:color w:val="00B0F0"/>
          <w:sz w:val="22"/>
          <w:szCs w:val="22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Czy w przypadku posiadania usługi płatności mobilnych Zamawiający dostarczy niezbędną dokumentację techniczną i wsparcie przy integracji rozwiązania z planowaną inwestycją?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Ad.5. Zamawiający nie dostarczy dokumentacji technicznej i wsparcia przy integracji rozwiązania z planowaną inwestycją.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Czy Zamawiający preferuję uznane rozwiązanie funkcjonujące w strefie płatnego parkowania na terenie miasta Poznań, np. aplikacja </w:t>
      </w:r>
      <w:proofErr w:type="spellStart"/>
      <w:r w:rsidRPr="00C27A10">
        <w:rPr>
          <w:rFonts w:ascii="Bookman Old Style" w:hAnsi="Bookman Old Style"/>
        </w:rPr>
        <w:t>Mobilet</w:t>
      </w:r>
      <w:proofErr w:type="spellEnd"/>
      <w:r w:rsidRPr="00C27A10">
        <w:rPr>
          <w:rFonts w:ascii="Bookman Old Style" w:hAnsi="Bookman Old Style"/>
        </w:rPr>
        <w:t>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 6. Zamawiający nie preferuje żadnego z rozwiązań.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Oferta musi być zgodna z opisem przedmiotu zamówienia stanowiącym załącznik do SIWZ.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Czy sterowanie szlabanami z portierni nie powinno odbywać się automatycznie za pośrednictwem systemu parkingowego?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Ad.7. Sterowanie szlabanami z portierni</w:t>
      </w:r>
      <w:r w:rsidRPr="00C27A10">
        <w:rPr>
          <w:rFonts w:ascii="Bookman Old Style" w:hAnsi="Bookman Old Style"/>
          <w:color w:val="FF0000"/>
        </w:rPr>
        <w:t xml:space="preserve"> </w:t>
      </w:r>
      <w:r w:rsidRPr="00C27A10">
        <w:rPr>
          <w:rFonts w:ascii="Bookman Old Style" w:hAnsi="Bookman Old Style"/>
          <w:color w:val="00B0F0"/>
        </w:rPr>
        <w:t xml:space="preserve">należy wykonać zgodnie z projektem. Sterowanie manualne z portierni jest niezbędne przy wjeździe/wyjeździe na teren szpitala pojazdów zwolnionych z opłat (np. odbierających odpady komunalne, itp.) i umożliwia portierowi sterowanie szlabanami w strefie A lub C, po uzyskaniu informacji telefonicznej z aparatu IP i kamer zamontowanych w strefie wjazdu/wyjazdu.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Czy moduł awaryjnego otwarcia szlabanem może zostać zamontowany w szlabanie, a nie jak wskazał Zamawiający w terminalu. </w:t>
      </w:r>
    </w:p>
    <w:p w:rsidR="00C27A10" w:rsidRPr="00C27A10" w:rsidRDefault="00C27A10" w:rsidP="00C27A10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C27A10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B0F0"/>
          <w:sz w:val="22"/>
          <w:szCs w:val="22"/>
        </w:rPr>
      </w:pPr>
      <w:r w:rsidRPr="00C27A10">
        <w:rPr>
          <w:rFonts w:ascii="Bookman Old Style" w:hAnsi="Bookman Old Style"/>
          <w:color w:val="00B0F0"/>
          <w:sz w:val="22"/>
          <w:szCs w:val="22"/>
        </w:rPr>
        <w:t>Ad.8. Moduł awaryjnego otwarcia szlabanem</w:t>
      </w:r>
      <w:r w:rsidRPr="00C27A10">
        <w:rPr>
          <w:rFonts w:ascii="Bookman Old Style" w:hAnsi="Bookman Old Style"/>
          <w:sz w:val="22"/>
          <w:szCs w:val="22"/>
        </w:rPr>
        <w:t xml:space="preserve"> </w:t>
      </w:r>
      <w:r w:rsidRPr="00C27A10">
        <w:rPr>
          <w:rFonts w:ascii="Bookman Old Style" w:hAnsi="Bookman Old Style"/>
          <w:color w:val="00B0F0"/>
          <w:sz w:val="22"/>
          <w:szCs w:val="22"/>
        </w:rPr>
        <w:t xml:space="preserve">należy zamontować zgodnie z projektem.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Czy Zamawiający dopuszcza wydzielenie systemu kontroli wjazdu/wyjazdu dla systemu parkingowego, odrębnego do istniejącego systemu kontroli dostępu? Integracja obu systemów wymaga wyższych nakładów finansowych.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Ad.9. Systemu kontroli wjazdu/wyjazdu dla systemu parkingowego należy wykonać zgodnie z projektem – nakłady zostały uwzględnione w kosztorysie.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Czy Zamawiający dopuszcza płatność bilonem w automatycznej kasie parkingowej od 0,50 zł do 5 zł, z pominięciem 0,10 i 0,20 zł?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Ad.10.</w:t>
      </w:r>
      <w:r w:rsidRPr="00C27A10">
        <w:rPr>
          <w:rFonts w:ascii="Bookman Old Style" w:hAnsi="Bookman Old Style"/>
          <w:color w:val="FF0000"/>
        </w:rPr>
        <w:t xml:space="preserve"> </w:t>
      </w:r>
      <w:r w:rsidRPr="00C27A10">
        <w:rPr>
          <w:rFonts w:ascii="Bookman Old Style" w:hAnsi="Bookman Old Style"/>
          <w:color w:val="00B0F0"/>
        </w:rPr>
        <w:t>Wymagania dot. płatności zostały określone w opisie technicznym (str. 52 i 53).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lastRenderedPageBreak/>
        <w:t>Prosimy o określenie koloru dla urządzeń, możliwość wyboru dowolnego koloru z Palety RAL, znacznie wpływa na podwyższenie kosztów produkcyjnych. Proponujemy określenie 3 kolorów dowolnych producentów.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 11. Kolor żółty – RAL 1003, kolor ciemny grafit – RAL 7024 (jak na załączonych zdjęciach)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Czy Zamawiający przekaże niezbędną dokumentację techniczną i wsparcie techniczne wykonawcy posiadanego systemu kontroli dostępu z systemem parkingowym, w ramach opisywanych założeń w </w:t>
      </w:r>
      <w:proofErr w:type="spellStart"/>
      <w:r w:rsidRPr="00C27A10">
        <w:rPr>
          <w:rFonts w:ascii="Bookman Old Style" w:hAnsi="Bookman Old Style"/>
        </w:rPr>
        <w:t>pkt</w:t>
      </w:r>
      <w:proofErr w:type="spellEnd"/>
      <w:r w:rsidRPr="00C27A10">
        <w:rPr>
          <w:rFonts w:ascii="Bookman Old Style" w:hAnsi="Bookman Old Style"/>
        </w:rPr>
        <w:t xml:space="preserve"> 2.4?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Ad.12. Niezbędne informacje dot. istniejącego systemu kontroli dostępu, są zawarte w projekcie.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Czy Zamawiający ma pewność, iż posiadany przez Zamawiającego system Kontroli Dostępu posiada możliwość integracji z innymi systemami z wzajemną wymianą danych?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Ad.13. System ma być zgodny z systemem działającym na terenie WCPIT.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Kto jest producentem lub dostawcą posiadanego przez Zamawiającego systemu kontroli dostępu, oraz w jakiej technologii ten system działa (rodzaj kart i czytników, oprogramowanie)?</w:t>
      </w:r>
    </w:p>
    <w:p w:rsidR="00870337" w:rsidRPr="00C27A10" w:rsidRDefault="00870337" w:rsidP="0067348C">
      <w:pPr>
        <w:spacing w:after="0" w:line="360" w:lineRule="auto"/>
        <w:rPr>
          <w:rFonts w:ascii="Bookman Old Style" w:hAnsi="Bookman Old Style"/>
          <w:color w:val="FF0000"/>
        </w:rPr>
      </w:pPr>
    </w:p>
    <w:p w:rsidR="00870337" w:rsidRPr="00C27A10" w:rsidRDefault="00870337" w:rsidP="0067348C">
      <w:pPr>
        <w:spacing w:after="0" w:line="360" w:lineRule="auto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Ad.14. </w:t>
      </w:r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Zamawiający posiada system kontroli dostępu </w:t>
      </w:r>
      <w:proofErr w:type="spellStart"/>
      <w:r w:rsidRPr="00C27A10">
        <w:rPr>
          <w:rFonts w:ascii="Bookman Old Style" w:hAnsi="Bookman Old Style"/>
          <w:color w:val="00B0F0"/>
          <w:shd w:val="clear" w:color="auto" w:fill="FFFFFF"/>
        </w:rPr>
        <w:t>SiPass</w:t>
      </w:r>
      <w:proofErr w:type="spellEnd"/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 </w:t>
      </w:r>
      <w:proofErr w:type="spellStart"/>
      <w:r w:rsidRPr="00C27A10">
        <w:rPr>
          <w:rFonts w:ascii="Bookman Old Style" w:hAnsi="Bookman Old Style"/>
          <w:color w:val="00B0F0"/>
          <w:shd w:val="clear" w:color="auto" w:fill="FFFFFF"/>
        </w:rPr>
        <w:t>Entro</w:t>
      </w:r>
      <w:proofErr w:type="spellEnd"/>
      <w:r w:rsidRPr="00C27A10">
        <w:rPr>
          <w:rFonts w:ascii="Bookman Old Style" w:hAnsi="Bookman Old Style"/>
          <w:color w:val="00B0F0"/>
          <w:shd w:val="clear" w:color="auto" w:fill="FFFFFF"/>
        </w:rPr>
        <w:t xml:space="preserve"> firmy Siemens zarządzany przez dział IT zamawiającego. Współpracuje on z kartami w standardzie </w:t>
      </w:r>
      <w:proofErr w:type="spellStart"/>
      <w:r w:rsidRPr="00C27A10">
        <w:rPr>
          <w:rFonts w:ascii="Bookman Old Style" w:hAnsi="Bookman Old Style"/>
          <w:color w:val="00B0F0"/>
          <w:shd w:val="clear" w:color="auto" w:fill="FFFFFF"/>
        </w:rPr>
        <w:t>MiFare</w:t>
      </w:r>
      <w:proofErr w:type="spellEnd"/>
      <w:r w:rsidRPr="00C27A10">
        <w:rPr>
          <w:rFonts w:ascii="Bookman Old Style" w:hAnsi="Bookman Old Style"/>
          <w:color w:val="00B0F0"/>
          <w:shd w:val="clear" w:color="auto" w:fill="FFFFFF"/>
        </w:rPr>
        <w:t> 1K. Czytniki kart kompatybilne z czytnikami Vanderbilt VR-20M-MF,</w:t>
      </w:r>
      <w:r w:rsidRPr="00C27A10">
        <w:rPr>
          <w:rFonts w:ascii="Bookman Old Style" w:hAnsi="Bookman Old Style"/>
          <w:color w:val="00B0F0"/>
        </w:rPr>
        <w:t xml:space="preserve"> </w:t>
      </w:r>
    </w:p>
    <w:p w:rsidR="00870337" w:rsidRPr="00C27A10" w:rsidRDefault="00870337" w:rsidP="0067348C">
      <w:pPr>
        <w:spacing w:after="0" w:line="360" w:lineRule="auto"/>
        <w:rPr>
          <w:rFonts w:ascii="Bookman Old Style" w:hAnsi="Bookman Old Style"/>
          <w:color w:val="00B0F0"/>
          <w:shd w:val="clear" w:color="auto" w:fill="FFFFFF"/>
        </w:rPr>
      </w:pPr>
      <w:r w:rsidRPr="00C27A10">
        <w:rPr>
          <w:rFonts w:ascii="Bookman Old Style" w:hAnsi="Bookman Old Style"/>
          <w:color w:val="00B0F0"/>
          <w:shd w:val="clear" w:color="auto" w:fill="FFFFFF"/>
        </w:rPr>
        <w:t>kontrolery zgodne z kontrolerem DC22 MK3.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lastRenderedPageBreak/>
        <w:t xml:space="preserve">Zamawiający wskazuje na rozbudowę systemu CCTV, prosimy o doprecyzowanie czy rozbudowa jest po stronie Zamawiającego czy Wykonawcy? Sformułowania takie jak: „zostanie rozbudowany telewizyjny system nadzoru” są dość nie ostre.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Ad.15. W opisie technicznym na str. 57 (Założenia), jasno zostało określone, że projektowane kamery należy włączyć w istniejące elementy systemu. Jest to po stronie Wykonawcy, (patrz przedmiar robót).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Ze względu na wiele niejasnych kwestii dotyczących realizacji Zamówienia  prosimy o wydłużenie terminu składania ofert do 24-02-2020r.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 16. Zamawiający przedłuża termin składania ofert do dnia 18.02.2020 roku.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  <w:u w:val="sing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b/>
          <w:color w:val="0070C0"/>
          <w:u w:val="single"/>
        </w:rPr>
      </w:pPr>
      <w:r w:rsidRPr="00C27A10">
        <w:rPr>
          <w:rFonts w:ascii="Bookman Old Style" w:hAnsi="Bookman Old Style"/>
          <w:b/>
          <w:color w:val="0070C0"/>
          <w:u w:val="single"/>
        </w:rPr>
        <w:t>Pytania branża elektryczna i teletechniczna:</w:t>
      </w:r>
    </w:p>
    <w:p w:rsidR="00870337" w:rsidRPr="00522781" w:rsidRDefault="00870337" w:rsidP="0067348C">
      <w:pPr>
        <w:spacing w:after="0" w:line="360" w:lineRule="auto"/>
        <w:jc w:val="both"/>
        <w:rPr>
          <w:rFonts w:ascii="Bookman Old Style" w:hAnsi="Bookman Old Style"/>
          <w:color w:val="FF0000"/>
        </w:rPr>
      </w:pPr>
    </w:p>
    <w:p w:rsidR="00870337" w:rsidRPr="00321F07" w:rsidRDefault="00870337" w:rsidP="0067348C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321F07">
        <w:rPr>
          <w:rFonts w:ascii="Bookman Old Style" w:hAnsi="Bookman Old Style"/>
        </w:rPr>
        <w:t>W części branży elektrycznej i teletechnicznej określone zostały wymagania do używanych materiałów: kabli, złączek itp. Zamawiający Wymaga certyfikatów, które skutkują np. potrzebą zakupu sprzętu od jednego producenta z 15-letnim doświadczeniem i montowania przez „certyfikowanego instalatora” . Takie wymagania skutkują znacznym podwyższeniem kosztów oraz wskazują jedną grupę dostawców. Czy Zamawiający dopuszcza stosowanie kabli, złączek itp. podlegającym zwyczajowej certyfikacji?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Ad.1. Zamawiający nie dopuszcza stosowania kabli, złączek, itp. podlegających „zwyczajowej certyfikacji”. Wymagania Zamawiającego dot. zakupu materiałów od producenta z dużym doświadczeniem, oraz zamontowanie ich przez certyfikowanego instalatora, zapewnia Zamawiającemu, że projektowane roboty zostaną wykonane na wysokim poziomie i z materiałów wysokiej jakości, a nie nieznanego pochodzenia </w:t>
      </w:r>
      <w:r w:rsidRPr="00C27A10">
        <w:rPr>
          <w:rFonts w:ascii="Bookman Old Style" w:hAnsi="Bookman Old Style"/>
          <w:color w:val="00B0F0"/>
        </w:rPr>
        <w:lastRenderedPageBreak/>
        <w:t xml:space="preserve">i o niskiej jakości. Wymagania powyższe nie zwiększą kosztów, ponieważ zostały uwzględnione w projekcie i w kosztorysie.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Prosimy o określenie w jaki sposób Wykonawca ma uzyskać certyfikat DELTA wymagany przez Zamawiającego.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Ad.2. Wykonawca winien uzyskać certyfikat DELTA lub równoważny.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321F07" w:rsidRDefault="00870337" w:rsidP="0067348C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321F07">
        <w:rPr>
          <w:rFonts w:ascii="Bookman Old Style" w:hAnsi="Bookman Old Style"/>
        </w:rPr>
        <w:t xml:space="preserve">W dokumentacji  projektowej występują zapisy o 25-letniej gwarancji, która ma być potwierdzona umową </w:t>
      </w:r>
      <w:proofErr w:type="spellStart"/>
      <w:r w:rsidRPr="00321F07">
        <w:rPr>
          <w:rFonts w:ascii="Bookman Old Style" w:hAnsi="Bookman Old Style"/>
        </w:rPr>
        <w:t>Wykonawca-Użytkownik-Producenta</w:t>
      </w:r>
      <w:proofErr w:type="spellEnd"/>
      <w:r w:rsidRPr="00321F07">
        <w:rPr>
          <w:rFonts w:ascii="Bookman Old Style" w:hAnsi="Bookman Old Style"/>
        </w:rPr>
        <w:t xml:space="preserve">, w SIWZ jest ocena oferty </w:t>
      </w:r>
      <w:proofErr w:type="spellStart"/>
      <w:r w:rsidRPr="00321F07">
        <w:rPr>
          <w:rFonts w:ascii="Bookman Old Style" w:hAnsi="Bookman Old Style"/>
        </w:rPr>
        <w:t>max</w:t>
      </w:r>
      <w:proofErr w:type="spellEnd"/>
      <w:r w:rsidRPr="00321F07">
        <w:rPr>
          <w:rFonts w:ascii="Bookman Old Style" w:hAnsi="Bookman Old Style"/>
        </w:rPr>
        <w:t>. do 120 miesięcy. Są to zapisy wzajemnie wykluczające się, tak wiec prosimy o doprecyzowanie.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Ad.3. Zapisy te się nie wykluczają, ponieważ w dokumentacji projektowej, określone zostały warunki jakie musi spełnić Wykonawca, aby Producent (po stwierdzeniu wbudowania właściwych materiałów przesyłowych – okablowanie strukturalne, panele, złącza, kable krosowe, przyłączeniowe, czyli materiały szczegółowo określone w projekcie branży elektrycznej i teletechnicznej), udzielił wymaganej gwarancji. Wymagana przez Zamawiającego gwarancja określona w SIWZ (120 miesięcy), dotyczy całości zadania objętego postępowaniem przetargowym.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522781" w:rsidRDefault="00870337" w:rsidP="0067348C">
      <w:pPr>
        <w:spacing w:after="0" w:line="360" w:lineRule="auto"/>
        <w:jc w:val="both"/>
        <w:rPr>
          <w:rFonts w:ascii="Bookman Old Style" w:hAnsi="Bookman Old Style"/>
          <w:b/>
          <w:color w:val="0070C0"/>
          <w:u w:val="single"/>
        </w:rPr>
      </w:pPr>
      <w:r w:rsidRPr="00522781">
        <w:rPr>
          <w:rFonts w:ascii="Bookman Old Style" w:hAnsi="Bookman Old Style"/>
          <w:b/>
          <w:color w:val="0070C0"/>
          <w:u w:val="single"/>
        </w:rPr>
        <w:t>Pytania do SIWZ i Umowa: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Default="00870337" w:rsidP="0067348C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W jaki sposób Zamawiający zamierza sprawdzić jakość robót wykonanych z materiałów Wykonawcy, podczas gdy materiały zostały szczegółowo opisane w specyfikacji. Czy przerwanie prac związane z badaniem jakości może wpłynąć na termin wykonania umowy?</w:t>
      </w:r>
    </w:p>
    <w:p w:rsidR="00522781" w:rsidRPr="00C27A10" w:rsidRDefault="00522781" w:rsidP="00522781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522781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B0F0"/>
          <w:sz w:val="22"/>
          <w:szCs w:val="22"/>
        </w:rPr>
      </w:pPr>
      <w:r w:rsidRPr="00C27A10">
        <w:rPr>
          <w:rFonts w:ascii="Bookman Old Style" w:hAnsi="Bookman Old Style"/>
          <w:color w:val="00B0F0"/>
          <w:sz w:val="22"/>
          <w:szCs w:val="22"/>
        </w:rPr>
        <w:lastRenderedPageBreak/>
        <w:t>Ad. 3. Badanie wykonywanych przez Zamawiającego robót odbywać się będzie systematycznie w trakcie realizacji umowy przez Nadzór Inwestorski. Sprawdzenie jakości wykonywanych prac nie wpłynie na termin wykonania.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Co Zamawiający rozumie pod określeniem w par. 1 </w:t>
      </w:r>
      <w:proofErr w:type="spellStart"/>
      <w:r w:rsidRPr="00C27A10">
        <w:rPr>
          <w:rFonts w:ascii="Bookman Old Style" w:hAnsi="Bookman Old Style"/>
        </w:rPr>
        <w:t>pkt</w:t>
      </w:r>
      <w:proofErr w:type="spellEnd"/>
      <w:r w:rsidRPr="00C27A10">
        <w:rPr>
          <w:rFonts w:ascii="Bookman Old Style" w:hAnsi="Bookman Old Style"/>
        </w:rPr>
        <w:t xml:space="preserve"> 2 pp. 4 projektu Umowy, w którym Wykonawca nie będzie brać udziału w jakichkolwiek projektach, które mogą wpłynąć negatywnie na jakość lub terminowość niniejszej inwestycji?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FF0000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 2. Zapis w par. 1 </w:t>
      </w:r>
      <w:proofErr w:type="spellStart"/>
      <w:r w:rsidRPr="00C27A10">
        <w:rPr>
          <w:rFonts w:ascii="Bookman Old Style" w:hAnsi="Bookman Old Style"/>
          <w:color w:val="00B0F0"/>
        </w:rPr>
        <w:t>pkt</w:t>
      </w:r>
      <w:proofErr w:type="spellEnd"/>
      <w:r w:rsidRPr="00C27A10">
        <w:rPr>
          <w:rFonts w:ascii="Bookman Old Style" w:hAnsi="Bookman Old Style"/>
          <w:color w:val="00B0F0"/>
        </w:rPr>
        <w:t xml:space="preserve"> 2 pp. 4 projektu jest zrozumiały i nie wymaga doprecyzowania.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</w:p>
    <w:p w:rsidR="00870337" w:rsidRPr="00C27A10" w:rsidRDefault="00870337" w:rsidP="0067348C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Co Zamawiający rozumiem pod określeniem „wykonanie systemu ruchu” w </w:t>
      </w:r>
      <w:proofErr w:type="spellStart"/>
      <w:r w:rsidRPr="00C27A10">
        <w:rPr>
          <w:rFonts w:ascii="Bookman Old Style" w:hAnsi="Bookman Old Style"/>
        </w:rPr>
        <w:t>pkt</w:t>
      </w:r>
      <w:proofErr w:type="spellEnd"/>
      <w:r w:rsidRPr="00C27A10">
        <w:rPr>
          <w:rFonts w:ascii="Bookman Old Style" w:hAnsi="Bookman Old Style"/>
        </w:rPr>
        <w:t xml:space="preserve"> 7.2 SIWZ. Czy wykonaniem jest wyłącznie sam montaż systemu, czy zaprojektowanie, przygotowanie, zamontowanie, skonfigurowanie oraz uruchomienie tegoż? 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>Ad. 3. Zamawiający pod określeniem „wykonanie systemu zarządzania ruchem” rozumie przygotowanie, zamontowanie, skonfigurowanie oraz uruchomienie tegoż systemu.</w:t>
      </w: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</w:rPr>
      </w:pPr>
    </w:p>
    <w:p w:rsidR="00870337" w:rsidRPr="00C27A10" w:rsidRDefault="00870337" w:rsidP="0067348C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Prosimy o rozszerzenie katalogu dopuszczalnych zmian w umowie , w § 16, o następujące przypadki:</w:t>
      </w:r>
    </w:p>
    <w:p w:rsidR="00870337" w:rsidRPr="00C27A10" w:rsidRDefault="00870337" w:rsidP="0067348C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 xml:space="preserve">Wystąpienia  awarii  nie  zawinionej  czynnościami  lub  nie  wynikającej  z  zaniechania  czynności,  do  których Wykonawca był zobowiązany – przedłużenie terminów realizacji poszczególnych etapów zamówienia o czas konieczny na usunięcie awarii i podjęcie realizacji zamówienia zgodnie ze standardami określonymi w SIWZ, </w:t>
      </w:r>
    </w:p>
    <w:p w:rsidR="00870337" w:rsidRPr="00C27A10" w:rsidRDefault="00870337" w:rsidP="0067348C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t>zmiany  zakresu  przedmiotu  zamówienia  w  przypadku  konieczności wykonania dodatkowych robót budowlanych, co powoduje zwiększenie wynagrodzenia wykonawcy;</w:t>
      </w:r>
    </w:p>
    <w:p w:rsidR="00870337" w:rsidRPr="00C27A10" w:rsidRDefault="00870337" w:rsidP="0067348C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C27A10">
        <w:rPr>
          <w:rFonts w:ascii="Bookman Old Style" w:hAnsi="Bookman Old Style"/>
        </w:rPr>
        <w:lastRenderedPageBreak/>
        <w:t xml:space="preserve">wystąpienia  kolizji  z  sieciami  uzbrojenia  podziemnego  wpływających  na  zmianę  terminu  realizacji  zamówienia poprzez jego proporcjonalne wydłużenie o liczbę dni niezbędną do dalszej realizacji przedmiotu zamówienia. </w:t>
      </w:r>
    </w:p>
    <w:p w:rsidR="00870337" w:rsidRPr="00C27A10" w:rsidRDefault="00870337" w:rsidP="0067348C">
      <w:pPr>
        <w:pStyle w:val="Akapitzlist"/>
        <w:spacing w:line="360" w:lineRule="auto"/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870337" w:rsidRPr="00C27A10" w:rsidRDefault="00870337" w:rsidP="0067348C">
      <w:pPr>
        <w:spacing w:after="0" w:line="360" w:lineRule="auto"/>
        <w:jc w:val="both"/>
        <w:rPr>
          <w:rFonts w:ascii="Bookman Old Style" w:hAnsi="Bookman Old Style"/>
          <w:color w:val="00B0F0"/>
        </w:rPr>
      </w:pPr>
      <w:r w:rsidRPr="00C27A10">
        <w:rPr>
          <w:rFonts w:ascii="Bookman Old Style" w:hAnsi="Bookman Old Style"/>
          <w:color w:val="00B0F0"/>
        </w:rPr>
        <w:t xml:space="preserve">Ad. 4. </w:t>
      </w:r>
      <w:r w:rsidRPr="00C27A10">
        <w:rPr>
          <w:rFonts w:ascii="Bookman Old Style" w:hAnsi="Bookman Old Style" w:cs="Tahoma"/>
          <w:color w:val="00B0F0"/>
        </w:rPr>
        <w:t>Zamawiający pozostawia zapisy wzoru umowy bez zmian</w:t>
      </w:r>
    </w:p>
    <w:p w:rsidR="00A829A7" w:rsidRPr="00C27A10" w:rsidRDefault="00A829A7" w:rsidP="0067348C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eastAsia="Times New Roman" w:hAnsi="Bookman Old Style"/>
          <w:b/>
          <w:bCs/>
          <w:i/>
          <w:iCs/>
          <w:color w:val="FF0000"/>
          <w:lang w:eastAsia="pl-PL"/>
        </w:rPr>
      </w:pPr>
    </w:p>
    <w:p w:rsidR="00415C65" w:rsidRPr="00C27A10" w:rsidRDefault="00415C65" w:rsidP="0067348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C27A10">
        <w:rPr>
          <w:rFonts w:ascii="Bookman Old Style" w:hAnsi="Bookman Old Style"/>
          <w:b/>
        </w:rPr>
        <w:t>Zamawiający działając zgodnie z art</w:t>
      </w:r>
      <w:r w:rsidRPr="00C27A10">
        <w:rPr>
          <w:rFonts w:ascii="Bookman Old Style" w:hAnsi="Bookman Old Style"/>
          <w:b/>
          <w:bCs/>
        </w:rPr>
        <w:t>. 38.</w:t>
      </w:r>
      <w:r w:rsidRPr="00C27A10">
        <w:rPr>
          <w:rFonts w:ascii="Bookman Old Style" w:hAnsi="Bookman Old Style"/>
          <w:b/>
        </w:rPr>
        <w:t xml:space="preserve"> ust 6 ustawy Prawo Zamówień Publicznych przedłuża termin składania ofert do dnia </w:t>
      </w:r>
      <w:r w:rsidR="00870337" w:rsidRPr="00C27A10">
        <w:rPr>
          <w:rFonts w:ascii="Bookman Old Style" w:hAnsi="Bookman Old Style"/>
          <w:b/>
        </w:rPr>
        <w:t>18.02.2020</w:t>
      </w:r>
      <w:r w:rsidRPr="00C27A10">
        <w:rPr>
          <w:rFonts w:ascii="Bookman Old Style" w:hAnsi="Bookman Old Style"/>
          <w:b/>
        </w:rPr>
        <w:t xml:space="preserve"> roku.</w:t>
      </w:r>
    </w:p>
    <w:p w:rsidR="00415C65" w:rsidRPr="00C27A10" w:rsidRDefault="00415C65" w:rsidP="0067348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C27A10">
        <w:rPr>
          <w:rFonts w:ascii="Bookman Old Style" w:hAnsi="Bookman Old Style"/>
          <w:b/>
        </w:rPr>
        <w:t>Godziny składania i otwarcia ofert pozostają bez zmian</w:t>
      </w:r>
      <w:r w:rsidR="00295A88">
        <w:rPr>
          <w:rFonts w:ascii="Bookman Old Style" w:hAnsi="Bookman Old Style"/>
          <w:b/>
        </w:rPr>
        <w:t>.</w:t>
      </w:r>
    </w:p>
    <w:p w:rsidR="00415C65" w:rsidRPr="00C27A10" w:rsidRDefault="00415C65" w:rsidP="0067348C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</w:rPr>
      </w:pPr>
    </w:p>
    <w:sectPr w:rsidR="00415C65" w:rsidRPr="00C27A10" w:rsidSect="00295A88">
      <w:headerReference w:type="default" r:id="rId10"/>
      <w:footerReference w:type="default" r:id="rId11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1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7132A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934573" w:rsidRPr="00934573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934573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934573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307C38" w:rsidRPr="00307C38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934573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01/2020</w:t>
    </w:r>
  </w:p>
  <w:p w:rsidR="00513A8A" w:rsidRDefault="00513A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3"/>
  </w:num>
  <w:num w:numId="9">
    <w:abstractNumId w:val="29"/>
  </w:num>
  <w:num w:numId="10">
    <w:abstractNumId w:val="12"/>
  </w:num>
  <w:num w:numId="11">
    <w:abstractNumId w:val="30"/>
  </w:num>
  <w:num w:numId="12">
    <w:abstractNumId w:val="27"/>
  </w:num>
  <w:num w:numId="13">
    <w:abstractNumId w:val="8"/>
  </w:num>
  <w:num w:numId="14">
    <w:abstractNumId w:val="32"/>
  </w:num>
  <w:num w:numId="15">
    <w:abstractNumId w:val="2"/>
  </w:num>
  <w:num w:numId="16">
    <w:abstractNumId w:val="33"/>
  </w:num>
  <w:num w:numId="17">
    <w:abstractNumId w:val="20"/>
  </w:num>
  <w:num w:numId="18">
    <w:abstractNumId w:val="18"/>
  </w:num>
  <w:num w:numId="19">
    <w:abstractNumId w:val="6"/>
  </w:num>
  <w:num w:numId="20">
    <w:abstractNumId w:val="7"/>
  </w:num>
  <w:num w:numId="21">
    <w:abstractNumId w:val="25"/>
  </w:num>
  <w:num w:numId="22">
    <w:abstractNumId w:val="4"/>
  </w:num>
  <w:num w:numId="23">
    <w:abstractNumId w:val="5"/>
  </w:num>
  <w:num w:numId="24">
    <w:abstractNumId w:val="22"/>
  </w:num>
  <w:num w:numId="25">
    <w:abstractNumId w:val="31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6"/>
  </w:num>
  <w:num w:numId="29">
    <w:abstractNumId w:val="17"/>
  </w:num>
  <w:num w:numId="30">
    <w:abstractNumId w:val="26"/>
  </w:num>
  <w:num w:numId="31">
    <w:abstractNumId w:val="14"/>
  </w:num>
  <w:num w:numId="32">
    <w:abstractNumId w:val="21"/>
  </w:num>
  <w:num w:numId="33">
    <w:abstractNumId w:val="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5805"/>
    <w:rsid w:val="00AF50EB"/>
    <w:rsid w:val="00B13F6F"/>
    <w:rsid w:val="00B23B82"/>
    <w:rsid w:val="00B25045"/>
    <w:rsid w:val="00B418BA"/>
    <w:rsid w:val="00B43BFD"/>
    <w:rsid w:val="00B80CA8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33</TotalTime>
  <Pages>13</Pages>
  <Words>2432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13</cp:revision>
  <cp:lastPrinted>2019-11-12T11:25:00Z</cp:lastPrinted>
  <dcterms:created xsi:type="dcterms:W3CDTF">2020-02-11T10:21:00Z</dcterms:created>
  <dcterms:modified xsi:type="dcterms:W3CDTF">2020-02-12T11:07:00Z</dcterms:modified>
</cp:coreProperties>
</file>