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CD" w:rsidRPr="00432E02" w:rsidRDefault="007673CD" w:rsidP="007673CD">
      <w:pPr>
        <w:pStyle w:val="Nagwek"/>
        <w:spacing w:line="360" w:lineRule="auto"/>
        <w:rPr>
          <w:rFonts w:ascii="Verdana" w:hAnsi="Verdana"/>
          <w:sz w:val="20"/>
          <w:szCs w:val="20"/>
        </w:rPr>
      </w:pPr>
      <w:r w:rsidRPr="00432E02">
        <w:rPr>
          <w:rFonts w:ascii="Verdana" w:hAnsi="Verdana"/>
          <w:sz w:val="20"/>
          <w:szCs w:val="20"/>
        </w:rPr>
        <w:t>W</w:t>
      </w:r>
      <w:r w:rsidR="00924EE8" w:rsidRPr="00432E02">
        <w:rPr>
          <w:rFonts w:ascii="Verdana" w:hAnsi="Verdana"/>
          <w:sz w:val="20"/>
          <w:szCs w:val="20"/>
        </w:rPr>
        <w:t>CPiT/EA/3</w:t>
      </w:r>
      <w:r w:rsidR="00FD0AC2" w:rsidRPr="00432E02">
        <w:rPr>
          <w:rFonts w:ascii="Verdana" w:hAnsi="Verdana"/>
          <w:sz w:val="20"/>
          <w:szCs w:val="20"/>
        </w:rPr>
        <w:t>81-</w:t>
      </w:r>
      <w:r w:rsidR="002D4106" w:rsidRPr="00432E02">
        <w:rPr>
          <w:rFonts w:ascii="Verdana" w:hAnsi="Verdana"/>
          <w:sz w:val="20"/>
          <w:szCs w:val="20"/>
        </w:rPr>
        <w:t>13</w:t>
      </w:r>
      <w:r w:rsidR="00FD0AC2" w:rsidRPr="00432E02">
        <w:rPr>
          <w:rFonts w:ascii="Verdana" w:hAnsi="Verdana"/>
          <w:sz w:val="20"/>
          <w:szCs w:val="20"/>
        </w:rPr>
        <w:t xml:space="preserve">/2021 </w:t>
      </w:r>
      <w:r w:rsidR="00FD0AC2" w:rsidRPr="00432E02">
        <w:rPr>
          <w:rFonts w:ascii="Verdana" w:hAnsi="Verdana"/>
          <w:sz w:val="20"/>
          <w:szCs w:val="20"/>
        </w:rPr>
        <w:tab/>
      </w:r>
      <w:r w:rsidR="00FD0AC2" w:rsidRPr="00432E02">
        <w:rPr>
          <w:rFonts w:ascii="Verdana" w:hAnsi="Verdana"/>
          <w:sz w:val="20"/>
          <w:szCs w:val="20"/>
        </w:rPr>
        <w:tab/>
        <w:t>Poznań, 2021-0</w:t>
      </w:r>
      <w:r w:rsidR="002D4106" w:rsidRPr="00432E02">
        <w:rPr>
          <w:rFonts w:ascii="Verdana" w:hAnsi="Verdana"/>
          <w:sz w:val="20"/>
          <w:szCs w:val="20"/>
        </w:rPr>
        <w:t>6</w:t>
      </w:r>
      <w:r w:rsidR="00FD0AC2" w:rsidRPr="00432E02">
        <w:rPr>
          <w:rFonts w:ascii="Verdana" w:hAnsi="Verdana"/>
          <w:sz w:val="20"/>
          <w:szCs w:val="20"/>
        </w:rPr>
        <w:t>-</w:t>
      </w:r>
      <w:r w:rsidR="002D4106" w:rsidRPr="00432E02">
        <w:rPr>
          <w:rFonts w:ascii="Verdana" w:hAnsi="Verdana"/>
          <w:sz w:val="20"/>
          <w:szCs w:val="20"/>
        </w:rPr>
        <w:t>18</w:t>
      </w:r>
    </w:p>
    <w:p w:rsidR="007673CD" w:rsidRPr="00432E02" w:rsidRDefault="007673CD" w:rsidP="007673CD">
      <w:pPr>
        <w:pStyle w:val="Nagwek"/>
        <w:spacing w:line="360" w:lineRule="auto"/>
        <w:rPr>
          <w:rFonts w:ascii="Verdana" w:hAnsi="Verdana"/>
          <w:sz w:val="12"/>
          <w:szCs w:val="12"/>
        </w:rPr>
      </w:pPr>
      <w:r w:rsidRPr="00432E02">
        <w:rPr>
          <w:rFonts w:ascii="Verdana" w:hAnsi="Verdana"/>
          <w:sz w:val="12"/>
          <w:szCs w:val="12"/>
        </w:rPr>
        <w:tab/>
      </w:r>
      <w:r w:rsidRPr="00432E02">
        <w:rPr>
          <w:rFonts w:ascii="Verdana" w:hAnsi="Verdana"/>
          <w:sz w:val="12"/>
          <w:szCs w:val="12"/>
        </w:rPr>
        <w:tab/>
      </w:r>
    </w:p>
    <w:p w:rsidR="007673CD" w:rsidRPr="00432E02" w:rsidRDefault="007673CD" w:rsidP="007673CD">
      <w:pPr>
        <w:spacing w:after="0" w:line="360" w:lineRule="auto"/>
        <w:ind w:left="360"/>
        <w:jc w:val="right"/>
        <w:rPr>
          <w:rFonts w:ascii="Verdana" w:hAnsi="Verdana"/>
          <w:sz w:val="20"/>
          <w:szCs w:val="20"/>
        </w:rPr>
      </w:pPr>
      <w:r w:rsidRPr="00432E02">
        <w:rPr>
          <w:rFonts w:ascii="Verdana" w:hAnsi="Verdana"/>
          <w:sz w:val="20"/>
          <w:szCs w:val="20"/>
        </w:rPr>
        <w:t>Uczestnicy postępowania</w:t>
      </w:r>
    </w:p>
    <w:p w:rsidR="007673CD" w:rsidRPr="00432E02" w:rsidRDefault="007673CD" w:rsidP="007673CD">
      <w:pPr>
        <w:spacing w:after="0" w:line="360" w:lineRule="auto"/>
        <w:ind w:left="360"/>
        <w:jc w:val="right"/>
        <w:rPr>
          <w:rFonts w:ascii="Verdana" w:hAnsi="Verdana"/>
          <w:sz w:val="12"/>
          <w:szCs w:val="12"/>
        </w:rPr>
      </w:pPr>
    </w:p>
    <w:p w:rsidR="00432E02" w:rsidRPr="00432E02" w:rsidRDefault="007673CD" w:rsidP="00432E02">
      <w:pPr>
        <w:jc w:val="center"/>
        <w:rPr>
          <w:rFonts w:ascii="Verdana" w:hAnsi="Verdana"/>
          <w:sz w:val="20"/>
          <w:szCs w:val="20"/>
        </w:rPr>
      </w:pPr>
      <w:r w:rsidRPr="00432E02">
        <w:rPr>
          <w:rFonts w:ascii="Verdana" w:hAnsi="Verdana"/>
          <w:b/>
          <w:sz w:val="20"/>
          <w:szCs w:val="20"/>
        </w:rPr>
        <w:t xml:space="preserve">Dotyczy: </w:t>
      </w:r>
      <w:r w:rsidRPr="00432E02">
        <w:rPr>
          <w:rFonts w:ascii="Verdana" w:hAnsi="Verdana" w:cstheme="minorHAnsi"/>
          <w:b/>
          <w:sz w:val="20"/>
          <w:szCs w:val="20"/>
        </w:rPr>
        <w:t>Postępowaniaoudzieleniezamówieniaprowadzonegowtrybiepodstawowym bez przeprowadzenia negocjacji</w:t>
      </w:r>
      <w:r w:rsidRPr="00432E02">
        <w:rPr>
          <w:rFonts w:ascii="Verdana" w:hAnsi="Verdana"/>
          <w:b/>
          <w:sz w:val="20"/>
          <w:szCs w:val="20"/>
        </w:rPr>
        <w:t xml:space="preserve"> na </w:t>
      </w:r>
      <w:r w:rsidR="00F20572" w:rsidRPr="00432E02">
        <w:rPr>
          <w:rFonts w:ascii="Verdana" w:hAnsi="Verdana"/>
          <w:b/>
          <w:bCs/>
          <w:sz w:val="20"/>
          <w:szCs w:val="20"/>
        </w:rPr>
        <w:t xml:space="preserve">dostawę </w:t>
      </w:r>
      <w:r w:rsidR="00432E02" w:rsidRPr="00432E02">
        <w:rPr>
          <w:rFonts w:ascii="Verdana" w:hAnsi="Verdana"/>
          <w:b/>
          <w:sz w:val="20"/>
          <w:szCs w:val="20"/>
        </w:rPr>
        <w:t>wyrobów medycznych do podaży leków</w:t>
      </w:r>
    </w:p>
    <w:p w:rsidR="007673CD" w:rsidRPr="00432E02" w:rsidRDefault="007673CD" w:rsidP="00432E02">
      <w:pPr>
        <w:jc w:val="both"/>
        <w:rPr>
          <w:rFonts w:ascii="Verdana" w:hAnsi="Verdana"/>
          <w:sz w:val="20"/>
          <w:szCs w:val="20"/>
        </w:rPr>
      </w:pPr>
      <w:r w:rsidRPr="00432E02">
        <w:rPr>
          <w:rFonts w:ascii="Verdana" w:hAnsi="Verdana"/>
          <w:sz w:val="20"/>
          <w:szCs w:val="20"/>
        </w:rPr>
        <w:t xml:space="preserve">Zgodnie z art. 284 ust. 2 ustawy Prawo Zamówień Publicznych z dnia </w:t>
      </w:r>
      <w:r w:rsidRPr="00432E02">
        <w:rPr>
          <w:rFonts w:ascii="Verdana" w:hAnsi="Verdana" w:cstheme="minorHAnsi"/>
          <w:sz w:val="20"/>
          <w:szCs w:val="20"/>
          <w:lang w:eastAsia="pl-PL"/>
        </w:rPr>
        <w:t>11 września 2019r</w:t>
      </w:r>
      <w:r w:rsidRPr="00432E02">
        <w:rPr>
          <w:rFonts w:ascii="Verdana" w:hAnsi="Verdana"/>
          <w:sz w:val="20"/>
          <w:szCs w:val="20"/>
        </w:rPr>
        <w:t>. (</w:t>
      </w:r>
      <w:proofErr w:type="spellStart"/>
      <w:r w:rsidRPr="00432E02">
        <w:rPr>
          <w:rFonts w:ascii="Verdana" w:hAnsi="Verdana"/>
          <w:sz w:val="20"/>
          <w:szCs w:val="20"/>
        </w:rPr>
        <w:t>t.j</w:t>
      </w:r>
      <w:proofErr w:type="spellEnd"/>
      <w:r w:rsidRPr="00432E02">
        <w:rPr>
          <w:rFonts w:ascii="Verdana" w:eastAsia="Times New Roman" w:hAnsi="Verdana"/>
          <w:sz w:val="20"/>
          <w:szCs w:val="20"/>
          <w:lang w:eastAsia="pl-PL"/>
        </w:rPr>
        <w:t xml:space="preserve"> z 2019r. poz. 2019 ze zm.</w:t>
      </w:r>
      <w:r w:rsidRPr="00432E02">
        <w:rPr>
          <w:rFonts w:ascii="Verdana" w:hAnsi="Verdana"/>
          <w:sz w:val="20"/>
          <w:szCs w:val="20"/>
        </w:rPr>
        <w:t>), Wielkopolskie Centrum Pulmonologii i Torakochirurgii SP ZOZ udziela wyjaśnień dotyczących Specyfikacji Warunków Zamówienia.</w:t>
      </w:r>
    </w:p>
    <w:p w:rsidR="004F1231" w:rsidRPr="00432E02" w:rsidRDefault="004F1231" w:rsidP="007673CD">
      <w:pPr>
        <w:spacing w:after="0" w:line="240" w:lineRule="auto"/>
        <w:ind w:firstLine="709"/>
        <w:jc w:val="both"/>
        <w:rPr>
          <w:rFonts w:ascii="Verdana" w:hAnsi="Verdana"/>
          <w:b/>
          <w:sz w:val="20"/>
          <w:szCs w:val="20"/>
        </w:rPr>
      </w:pPr>
    </w:p>
    <w:p w:rsidR="007673CD" w:rsidRPr="00F24FF9" w:rsidRDefault="00873C75" w:rsidP="007673CD">
      <w:pPr>
        <w:spacing w:after="0" w:line="240" w:lineRule="auto"/>
        <w:jc w:val="both"/>
        <w:rPr>
          <w:rFonts w:ascii="Verdana" w:hAnsi="Verdana" w:cs="Tahoma"/>
          <w:b/>
          <w:sz w:val="20"/>
          <w:szCs w:val="20"/>
          <w:u w:val="single"/>
        </w:rPr>
      </w:pPr>
      <w:r w:rsidRPr="00F24FF9">
        <w:rPr>
          <w:rFonts w:ascii="Verdana" w:hAnsi="Verdana" w:cs="Tahoma"/>
          <w:b/>
          <w:sz w:val="20"/>
          <w:szCs w:val="20"/>
          <w:u w:val="single"/>
        </w:rPr>
        <w:t>PYTANIA</w:t>
      </w:r>
      <w:r w:rsidR="007673CD" w:rsidRPr="00F24FF9">
        <w:rPr>
          <w:rFonts w:ascii="Verdana" w:hAnsi="Verdana" w:cs="Tahoma"/>
          <w:b/>
          <w:sz w:val="20"/>
          <w:szCs w:val="20"/>
          <w:u w:val="single"/>
        </w:rPr>
        <w:t xml:space="preserve"> 1:</w:t>
      </w:r>
    </w:p>
    <w:p w:rsidR="00432E02" w:rsidRPr="00F24FF9" w:rsidRDefault="00432E02" w:rsidP="00432E02">
      <w:pPr>
        <w:spacing w:after="0"/>
      </w:pPr>
      <w:r w:rsidRPr="00F24FF9">
        <w:t xml:space="preserve">Dotyczy: WCPiT/EA/381-13/2021, Pakiet nr 11, Pozycja 1 </w:t>
      </w:r>
    </w:p>
    <w:p w:rsidR="00432E02" w:rsidRDefault="00432E02" w:rsidP="00432E02">
      <w:pPr>
        <w:spacing w:after="0"/>
        <w:rPr>
          <w:rFonts w:cstheme="minorHAnsi"/>
          <w:sz w:val="24"/>
          <w:szCs w:val="24"/>
          <w:lang w:eastAsia="pl-PL"/>
        </w:rPr>
      </w:pPr>
      <w:r w:rsidRPr="00D714F6">
        <w:rPr>
          <w:rFonts w:cstheme="minorHAnsi"/>
          <w:sz w:val="24"/>
          <w:szCs w:val="24"/>
          <w:lang w:eastAsia="pl-PL"/>
        </w:rPr>
        <w:t xml:space="preserve">Czy Zamawiający dopuści </w:t>
      </w:r>
      <w:r w:rsidRPr="00D714F6">
        <w:rPr>
          <w:rFonts w:cstheme="minorHAnsi"/>
          <w:sz w:val="24"/>
          <w:szCs w:val="24"/>
        </w:rPr>
        <w:t xml:space="preserve">zestaw centralnych cewników żylnych </w:t>
      </w:r>
      <w:proofErr w:type="spellStart"/>
      <w:r>
        <w:rPr>
          <w:rFonts w:cstheme="minorHAnsi"/>
          <w:sz w:val="24"/>
          <w:szCs w:val="24"/>
          <w:lang w:eastAsia="pl-PL"/>
        </w:rPr>
        <w:t>dwu</w:t>
      </w:r>
      <w:r w:rsidRPr="00D714F6">
        <w:rPr>
          <w:rFonts w:cstheme="minorHAnsi"/>
          <w:sz w:val="24"/>
          <w:szCs w:val="24"/>
          <w:lang w:eastAsia="pl-PL"/>
        </w:rPr>
        <w:t>światłowy</w:t>
      </w:r>
      <w:proofErr w:type="spellEnd"/>
      <w:r w:rsidRPr="00D714F6">
        <w:rPr>
          <w:rFonts w:cstheme="minorHAnsi"/>
          <w:sz w:val="24"/>
          <w:szCs w:val="24"/>
          <w:lang w:eastAsia="pl-PL"/>
        </w:rPr>
        <w:t xml:space="preserve"> wprowadzany metodą </w:t>
      </w:r>
      <w:proofErr w:type="spellStart"/>
      <w:r w:rsidRPr="00D714F6">
        <w:rPr>
          <w:rFonts w:cstheme="minorHAnsi"/>
          <w:sz w:val="24"/>
          <w:szCs w:val="24"/>
          <w:lang w:eastAsia="pl-PL"/>
        </w:rPr>
        <w:t>Seldingera</w:t>
      </w:r>
      <w:proofErr w:type="spellEnd"/>
      <w:r w:rsidRPr="00D714F6">
        <w:rPr>
          <w:rFonts w:cstheme="minorHAnsi"/>
          <w:sz w:val="24"/>
          <w:szCs w:val="24"/>
          <w:lang w:eastAsia="pl-PL"/>
        </w:rPr>
        <w:t xml:space="preserve">  wykonany z poliuretanu z gładką powierzchnią zewnętrzną. Zestaw posiada znaczoną długość z podaną objętością wypełnienia i szybkość przepływu wraz z miękką zakończoną końcówką. Linie przedłużające wytrzymują wielokrotne zaciskanie i zwalnianie zacisku.  </w:t>
      </w:r>
      <w:r w:rsidRPr="00D714F6">
        <w:rPr>
          <w:rFonts w:cstheme="minorHAnsi"/>
          <w:sz w:val="24"/>
          <w:szCs w:val="24"/>
          <w:u w:val="single"/>
          <w:lang w:eastAsia="pl-PL"/>
        </w:rPr>
        <w:t>Zestaw o przekroju 7Fr o długości 15 cm i 20cm</w:t>
      </w:r>
      <w:r w:rsidRPr="00D714F6">
        <w:rPr>
          <w:rFonts w:cstheme="minorHAnsi"/>
          <w:sz w:val="24"/>
          <w:szCs w:val="24"/>
          <w:lang w:eastAsia="pl-PL"/>
        </w:rPr>
        <w:t xml:space="preserve">  w gotowych zestawach w skład których wchodzi w szczególności: igła wprowadzająca </w:t>
      </w:r>
      <w:proofErr w:type="spellStart"/>
      <w:r w:rsidRPr="00D714F6">
        <w:rPr>
          <w:rFonts w:cstheme="minorHAnsi"/>
          <w:sz w:val="24"/>
          <w:szCs w:val="24"/>
          <w:lang w:eastAsia="pl-PL"/>
        </w:rPr>
        <w:t>introduktora</w:t>
      </w:r>
      <w:proofErr w:type="spellEnd"/>
      <w:r w:rsidRPr="00D714F6">
        <w:rPr>
          <w:rFonts w:cstheme="minorHAnsi"/>
          <w:sz w:val="24"/>
          <w:szCs w:val="24"/>
          <w:lang w:eastAsia="pl-PL"/>
        </w:rPr>
        <w:t xml:space="preserve"> 18G x 7cm (1,25mm x 7cm),  strzykawka o pojemności 5ml, skalpel #11, prowadnica </w:t>
      </w:r>
      <w:r>
        <w:rPr>
          <w:rFonts w:cstheme="minorHAnsi"/>
          <w:sz w:val="24"/>
          <w:szCs w:val="24"/>
          <w:lang w:eastAsia="pl-PL"/>
        </w:rPr>
        <w:t xml:space="preserve">z </w:t>
      </w:r>
      <w:proofErr w:type="spellStart"/>
      <w:r>
        <w:rPr>
          <w:rFonts w:cstheme="minorHAnsi"/>
          <w:sz w:val="24"/>
          <w:szCs w:val="24"/>
          <w:lang w:eastAsia="pl-PL"/>
        </w:rPr>
        <w:t>Nitinolu</w:t>
      </w:r>
      <w:proofErr w:type="spellEnd"/>
      <w:r w:rsidRPr="00D714F6">
        <w:rPr>
          <w:rFonts w:cstheme="minorHAnsi"/>
          <w:sz w:val="24"/>
          <w:szCs w:val="24"/>
          <w:lang w:eastAsia="pl-PL"/>
        </w:rPr>
        <w:t xml:space="preserve"> typu ‘J’ o przekroju 0,032 i długości 50cm</w:t>
      </w:r>
      <w:r w:rsidRPr="00D714F6">
        <w:rPr>
          <w:rFonts w:cstheme="minorHAnsi"/>
          <w:color w:val="000000"/>
          <w:sz w:val="24"/>
          <w:szCs w:val="24"/>
        </w:rPr>
        <w:t xml:space="preserve"> umieszczona w pochewce w kształcie koła z płaskim mechanizmem umożliwiającym wprowadzenie prowadnika jedną ręką</w:t>
      </w:r>
      <w:r w:rsidRPr="00D714F6">
        <w:rPr>
          <w:rFonts w:cstheme="minorHAnsi"/>
          <w:sz w:val="24"/>
          <w:szCs w:val="24"/>
          <w:lang w:eastAsia="pl-PL"/>
        </w:rPr>
        <w:t xml:space="preserve"> , rozszerzacz naczyniowy 8Fr (2,1mm) x 12cm, korki zabezpieczające</w:t>
      </w:r>
      <w:r>
        <w:rPr>
          <w:rFonts w:cstheme="minorHAnsi"/>
          <w:sz w:val="24"/>
          <w:szCs w:val="24"/>
          <w:lang w:eastAsia="pl-PL"/>
        </w:rPr>
        <w:t xml:space="preserve"> w ilościach odpowiadających kanałom cewnika,</w:t>
      </w:r>
      <w:r w:rsidRPr="00F977E2">
        <w:rPr>
          <w:rFonts w:cstheme="minorHAnsi"/>
          <w:sz w:val="24"/>
          <w:szCs w:val="24"/>
        </w:rPr>
        <w:t xml:space="preserve"> </w:t>
      </w:r>
      <w:r w:rsidRPr="00D714F6">
        <w:rPr>
          <w:rFonts w:cstheme="minorHAnsi"/>
          <w:sz w:val="24"/>
          <w:szCs w:val="24"/>
        </w:rPr>
        <w:t>kabel umożliwiający identyfikację położenia cewnika przy pomocy EKG</w:t>
      </w:r>
      <w:r>
        <w:rPr>
          <w:rFonts w:cstheme="minorHAnsi"/>
          <w:sz w:val="24"/>
          <w:szCs w:val="24"/>
        </w:rPr>
        <w:t xml:space="preserve"> </w:t>
      </w:r>
      <w:r w:rsidRPr="00D714F6">
        <w:rPr>
          <w:rFonts w:cstheme="minorHAnsi"/>
          <w:sz w:val="24"/>
          <w:szCs w:val="24"/>
          <w:lang w:eastAsia="pl-PL"/>
        </w:rPr>
        <w:t>oraz mocowanie cewnika typu „motylek”. Produkt sterylny z oznakowaniem przepływów na opakowaniu.</w:t>
      </w:r>
    </w:p>
    <w:p w:rsidR="00432E02" w:rsidRPr="00F24FF9" w:rsidRDefault="00432E02" w:rsidP="00432E02">
      <w:pPr>
        <w:spacing w:after="0"/>
      </w:pPr>
      <w:r w:rsidRPr="00F24FF9">
        <w:t>Dotyczy: WCPiT/EA/381-13/2021, Pakiet nr 11, Pozycja 2</w:t>
      </w:r>
    </w:p>
    <w:p w:rsidR="00432E02" w:rsidRDefault="00432E02" w:rsidP="00432E02">
      <w:pPr>
        <w:spacing w:after="0"/>
        <w:rPr>
          <w:rFonts w:cstheme="minorHAnsi"/>
          <w:sz w:val="24"/>
          <w:szCs w:val="24"/>
          <w:lang w:eastAsia="pl-PL"/>
        </w:rPr>
      </w:pPr>
      <w:r w:rsidRPr="00D714F6">
        <w:rPr>
          <w:rFonts w:cstheme="minorHAnsi"/>
          <w:sz w:val="24"/>
          <w:szCs w:val="24"/>
          <w:lang w:eastAsia="pl-PL"/>
        </w:rPr>
        <w:t xml:space="preserve">Czy Zamawiający dopuści </w:t>
      </w:r>
      <w:r w:rsidRPr="00D714F6">
        <w:rPr>
          <w:rFonts w:cstheme="minorHAnsi"/>
          <w:sz w:val="24"/>
          <w:szCs w:val="24"/>
        </w:rPr>
        <w:t xml:space="preserve">zestaw centralnych cewników żylnych </w:t>
      </w:r>
      <w:proofErr w:type="spellStart"/>
      <w:r w:rsidRPr="00D714F6">
        <w:rPr>
          <w:rFonts w:cstheme="minorHAnsi"/>
          <w:sz w:val="24"/>
          <w:szCs w:val="24"/>
          <w:lang w:eastAsia="pl-PL"/>
        </w:rPr>
        <w:t>trójświatłowy</w:t>
      </w:r>
      <w:proofErr w:type="spellEnd"/>
      <w:r w:rsidRPr="00D714F6">
        <w:rPr>
          <w:rFonts w:cstheme="minorHAnsi"/>
          <w:sz w:val="24"/>
          <w:szCs w:val="24"/>
          <w:lang w:eastAsia="pl-PL"/>
        </w:rPr>
        <w:t xml:space="preserve"> wprowadzany metodą </w:t>
      </w:r>
      <w:proofErr w:type="spellStart"/>
      <w:r w:rsidRPr="00D714F6">
        <w:rPr>
          <w:rFonts w:cstheme="minorHAnsi"/>
          <w:sz w:val="24"/>
          <w:szCs w:val="24"/>
          <w:lang w:eastAsia="pl-PL"/>
        </w:rPr>
        <w:t>Seldingera</w:t>
      </w:r>
      <w:proofErr w:type="spellEnd"/>
      <w:r w:rsidRPr="00D714F6">
        <w:rPr>
          <w:rFonts w:cstheme="minorHAnsi"/>
          <w:sz w:val="24"/>
          <w:szCs w:val="24"/>
          <w:lang w:eastAsia="pl-PL"/>
        </w:rPr>
        <w:t xml:space="preserve">  wykonany z poliuretanu z gładką powierzchnią zewnętrzną. Zestaw posiada znaczoną długość z podaną objętością wypełnienia i szybkość przepływu wraz z miękką zakończoną końcówką. Linie przedłużające wytrzymują wielokrotne zaciskanie i zwalnianie zacisku.  </w:t>
      </w:r>
      <w:r w:rsidRPr="00D714F6">
        <w:rPr>
          <w:rFonts w:cstheme="minorHAnsi"/>
          <w:sz w:val="24"/>
          <w:szCs w:val="24"/>
          <w:u w:val="single"/>
          <w:lang w:eastAsia="pl-PL"/>
        </w:rPr>
        <w:t>Zestaw o przekroju 7Fr o długości 15 cm i 20cm</w:t>
      </w:r>
      <w:r w:rsidRPr="00D714F6">
        <w:rPr>
          <w:rFonts w:cstheme="minorHAnsi"/>
          <w:sz w:val="24"/>
          <w:szCs w:val="24"/>
          <w:lang w:eastAsia="pl-PL"/>
        </w:rPr>
        <w:t xml:space="preserve">  w gotowych zestawach w skład których wchodzi w szczególności: igła wprowadzająca </w:t>
      </w:r>
      <w:proofErr w:type="spellStart"/>
      <w:r w:rsidRPr="00D714F6">
        <w:rPr>
          <w:rFonts w:cstheme="minorHAnsi"/>
          <w:sz w:val="24"/>
          <w:szCs w:val="24"/>
          <w:lang w:eastAsia="pl-PL"/>
        </w:rPr>
        <w:t>introduktora</w:t>
      </w:r>
      <w:proofErr w:type="spellEnd"/>
      <w:r w:rsidRPr="00D714F6">
        <w:rPr>
          <w:rFonts w:cstheme="minorHAnsi"/>
          <w:sz w:val="24"/>
          <w:szCs w:val="24"/>
          <w:lang w:eastAsia="pl-PL"/>
        </w:rPr>
        <w:t xml:space="preserve"> 18G x 7cm (1,25mm x 7cm),  strzykawka o pojemności 5ml, skalpel #11, prowadnica </w:t>
      </w:r>
      <w:r>
        <w:rPr>
          <w:rFonts w:cstheme="minorHAnsi"/>
          <w:sz w:val="24"/>
          <w:szCs w:val="24"/>
          <w:lang w:eastAsia="pl-PL"/>
        </w:rPr>
        <w:t xml:space="preserve">z </w:t>
      </w:r>
      <w:proofErr w:type="spellStart"/>
      <w:r>
        <w:rPr>
          <w:rFonts w:cstheme="minorHAnsi"/>
          <w:sz w:val="24"/>
          <w:szCs w:val="24"/>
          <w:lang w:eastAsia="pl-PL"/>
        </w:rPr>
        <w:t>Nitinolu</w:t>
      </w:r>
      <w:proofErr w:type="spellEnd"/>
      <w:r w:rsidRPr="00D714F6">
        <w:rPr>
          <w:rFonts w:cstheme="minorHAnsi"/>
          <w:sz w:val="24"/>
          <w:szCs w:val="24"/>
          <w:lang w:eastAsia="pl-PL"/>
        </w:rPr>
        <w:t xml:space="preserve"> typu ‘J’ o przekroju 0,032 i długości 50cm</w:t>
      </w:r>
      <w:r w:rsidRPr="00D714F6">
        <w:rPr>
          <w:rFonts w:cstheme="minorHAnsi"/>
          <w:color w:val="000000"/>
          <w:sz w:val="24"/>
          <w:szCs w:val="24"/>
        </w:rPr>
        <w:t xml:space="preserve"> umieszczona w pochewce w kształcie koła z płaskim mechanizmem umożliwiającym wprowadzenie prowadnika jedną ręką</w:t>
      </w:r>
      <w:r w:rsidRPr="00D714F6">
        <w:rPr>
          <w:rFonts w:cstheme="minorHAnsi"/>
          <w:sz w:val="24"/>
          <w:szCs w:val="24"/>
          <w:lang w:eastAsia="pl-PL"/>
        </w:rPr>
        <w:t xml:space="preserve"> , rozszerzacz </w:t>
      </w:r>
      <w:r w:rsidRPr="00D714F6">
        <w:rPr>
          <w:rFonts w:cstheme="minorHAnsi"/>
          <w:sz w:val="24"/>
          <w:szCs w:val="24"/>
          <w:lang w:eastAsia="pl-PL"/>
        </w:rPr>
        <w:lastRenderedPageBreak/>
        <w:t>naczyniowy 8Fr (2,1mm) x 12cm, korki zabezpieczające</w:t>
      </w:r>
      <w:r>
        <w:rPr>
          <w:rFonts w:cstheme="minorHAnsi"/>
          <w:sz w:val="24"/>
          <w:szCs w:val="24"/>
          <w:lang w:eastAsia="pl-PL"/>
        </w:rPr>
        <w:t xml:space="preserve"> w ilościach odpowiadających kanałom cewnika,</w:t>
      </w:r>
      <w:r w:rsidRPr="00F977E2">
        <w:rPr>
          <w:rFonts w:cstheme="minorHAnsi"/>
          <w:sz w:val="24"/>
          <w:szCs w:val="24"/>
        </w:rPr>
        <w:t xml:space="preserve"> </w:t>
      </w:r>
      <w:r w:rsidRPr="00D714F6">
        <w:rPr>
          <w:rFonts w:cstheme="minorHAnsi"/>
          <w:sz w:val="24"/>
          <w:szCs w:val="24"/>
        </w:rPr>
        <w:t>kabel umożliwiający identyfikację położenia cewnika przy pomocy EKG</w:t>
      </w:r>
      <w:r>
        <w:rPr>
          <w:rFonts w:cstheme="minorHAnsi"/>
          <w:sz w:val="24"/>
          <w:szCs w:val="24"/>
        </w:rPr>
        <w:t xml:space="preserve"> </w:t>
      </w:r>
      <w:r w:rsidRPr="00D714F6">
        <w:rPr>
          <w:rFonts w:cstheme="minorHAnsi"/>
          <w:sz w:val="24"/>
          <w:szCs w:val="24"/>
          <w:lang w:eastAsia="pl-PL"/>
        </w:rPr>
        <w:t>oraz mocowanie cewnika typu „motylek”. Produkt sterylny z oznakowaniem przepływów na opakowaniu.</w:t>
      </w:r>
    </w:p>
    <w:p w:rsidR="00432E02" w:rsidRPr="00F24FF9" w:rsidRDefault="00432E02" w:rsidP="00432E02">
      <w:pPr>
        <w:spacing w:after="0"/>
      </w:pPr>
      <w:r w:rsidRPr="00F24FF9">
        <w:t>Dotyczy: WCPiT/EA/381-13/2021, Pakiet nr 11, Pozycja 3</w:t>
      </w:r>
    </w:p>
    <w:p w:rsidR="00432E02" w:rsidRDefault="00432E02" w:rsidP="00432E02">
      <w:pPr>
        <w:spacing w:after="0"/>
        <w:rPr>
          <w:rFonts w:cstheme="minorHAnsi"/>
          <w:sz w:val="24"/>
          <w:szCs w:val="24"/>
          <w:lang w:eastAsia="pl-PL"/>
        </w:rPr>
      </w:pPr>
      <w:r w:rsidRPr="00D714F6">
        <w:rPr>
          <w:rFonts w:cstheme="minorHAnsi"/>
          <w:sz w:val="24"/>
          <w:szCs w:val="24"/>
          <w:lang w:eastAsia="pl-PL"/>
        </w:rPr>
        <w:t xml:space="preserve">Czy Zamawiający dopuści </w:t>
      </w:r>
      <w:r w:rsidRPr="00D714F6">
        <w:rPr>
          <w:rFonts w:cstheme="minorHAnsi"/>
          <w:sz w:val="24"/>
          <w:szCs w:val="24"/>
        </w:rPr>
        <w:t xml:space="preserve">zestaw centralnych cewników żylnych </w:t>
      </w:r>
      <w:proofErr w:type="spellStart"/>
      <w:r w:rsidRPr="00D714F6">
        <w:rPr>
          <w:rFonts w:cstheme="minorHAnsi"/>
          <w:sz w:val="24"/>
          <w:szCs w:val="24"/>
          <w:lang w:eastAsia="pl-PL"/>
        </w:rPr>
        <w:t>trójświatłowy</w:t>
      </w:r>
      <w:proofErr w:type="spellEnd"/>
      <w:r w:rsidRPr="00D714F6">
        <w:rPr>
          <w:rFonts w:cstheme="minorHAnsi"/>
          <w:sz w:val="24"/>
          <w:szCs w:val="24"/>
          <w:lang w:eastAsia="pl-PL"/>
        </w:rPr>
        <w:t xml:space="preserve"> wprowadzany metodą </w:t>
      </w:r>
      <w:proofErr w:type="spellStart"/>
      <w:r w:rsidRPr="00D714F6">
        <w:rPr>
          <w:rFonts w:cstheme="minorHAnsi"/>
          <w:sz w:val="24"/>
          <w:szCs w:val="24"/>
          <w:lang w:eastAsia="pl-PL"/>
        </w:rPr>
        <w:t>Seldingera</w:t>
      </w:r>
      <w:proofErr w:type="spellEnd"/>
      <w:r w:rsidRPr="00D714F6">
        <w:rPr>
          <w:rFonts w:cstheme="minorHAnsi"/>
          <w:sz w:val="24"/>
          <w:szCs w:val="24"/>
          <w:lang w:eastAsia="pl-PL"/>
        </w:rPr>
        <w:t xml:space="preserve">  wykonany z poliuretanu z gładką powierzchnią zewnętrzną. Zestaw posiada znaczoną długość z podaną objętością wypełnienia i szybkość przepływu wraz z miękką zakończoną końcówką. Linie przedłużające wytrzymują wielokrotne zaciskanie i zwalnianie zacisku.  </w:t>
      </w:r>
      <w:r w:rsidRPr="00D714F6">
        <w:rPr>
          <w:rFonts w:cstheme="minorHAnsi"/>
          <w:sz w:val="24"/>
          <w:szCs w:val="24"/>
          <w:u w:val="single"/>
          <w:lang w:eastAsia="pl-PL"/>
        </w:rPr>
        <w:t>Zestaw o przekroju 7Fr o długości 15 cm i 20cm</w:t>
      </w:r>
      <w:r w:rsidRPr="00D714F6">
        <w:rPr>
          <w:rFonts w:cstheme="minorHAnsi"/>
          <w:sz w:val="24"/>
          <w:szCs w:val="24"/>
          <w:lang w:eastAsia="pl-PL"/>
        </w:rPr>
        <w:t xml:space="preserve">  w gotowych zestawach w skład których wchodzi w szczególności: igła wprowadzająca </w:t>
      </w:r>
      <w:proofErr w:type="spellStart"/>
      <w:r w:rsidRPr="00D714F6">
        <w:rPr>
          <w:rFonts w:cstheme="minorHAnsi"/>
          <w:sz w:val="24"/>
          <w:szCs w:val="24"/>
          <w:lang w:eastAsia="pl-PL"/>
        </w:rPr>
        <w:t>introduktora</w:t>
      </w:r>
      <w:proofErr w:type="spellEnd"/>
      <w:r w:rsidRPr="00D714F6">
        <w:rPr>
          <w:rFonts w:cstheme="minorHAnsi"/>
          <w:sz w:val="24"/>
          <w:szCs w:val="24"/>
          <w:lang w:eastAsia="pl-PL"/>
        </w:rPr>
        <w:t xml:space="preserve"> 18G x 7cm (1,25mm x 7cm),  strzykawka o pojemności 5ml, skalpel #11, prowadnica </w:t>
      </w:r>
      <w:r>
        <w:rPr>
          <w:rFonts w:cstheme="minorHAnsi"/>
          <w:sz w:val="24"/>
          <w:szCs w:val="24"/>
          <w:lang w:eastAsia="pl-PL"/>
        </w:rPr>
        <w:t xml:space="preserve">z </w:t>
      </w:r>
      <w:proofErr w:type="spellStart"/>
      <w:r>
        <w:rPr>
          <w:rFonts w:cstheme="minorHAnsi"/>
          <w:sz w:val="24"/>
          <w:szCs w:val="24"/>
          <w:lang w:eastAsia="pl-PL"/>
        </w:rPr>
        <w:t>Nitinolu</w:t>
      </w:r>
      <w:proofErr w:type="spellEnd"/>
      <w:r w:rsidRPr="00D714F6">
        <w:rPr>
          <w:rFonts w:cstheme="minorHAnsi"/>
          <w:sz w:val="24"/>
          <w:szCs w:val="24"/>
          <w:lang w:eastAsia="pl-PL"/>
        </w:rPr>
        <w:t xml:space="preserve"> typu ‘J’ o przekroju 0,032 i długości 50cm</w:t>
      </w:r>
      <w:r w:rsidRPr="00D714F6">
        <w:rPr>
          <w:rFonts w:cstheme="minorHAnsi"/>
          <w:color w:val="000000"/>
          <w:sz w:val="24"/>
          <w:szCs w:val="24"/>
        </w:rPr>
        <w:t xml:space="preserve"> umieszczona w pochewce w kształcie koła z płaskim mechanizmem umożliwiającym wprowadzenie prowadnika jedną ręką</w:t>
      </w:r>
      <w:r>
        <w:rPr>
          <w:rFonts w:cstheme="minorHAnsi"/>
          <w:color w:val="000000"/>
          <w:sz w:val="24"/>
          <w:szCs w:val="24"/>
        </w:rPr>
        <w:t xml:space="preserve"> </w:t>
      </w:r>
      <w:r w:rsidRPr="00D714F6">
        <w:rPr>
          <w:rFonts w:eastAsia="Times New Roman" w:cstheme="minorHAnsi"/>
          <w:sz w:val="24"/>
          <w:szCs w:val="24"/>
          <w:lang w:eastAsia="pl-PL"/>
        </w:rPr>
        <w:t xml:space="preserve">z </w:t>
      </w:r>
      <w:proofErr w:type="spellStart"/>
      <w:r w:rsidRPr="00D714F6">
        <w:rPr>
          <w:rFonts w:eastAsia="Times New Roman" w:cstheme="minorHAnsi"/>
          <w:sz w:val="24"/>
          <w:szCs w:val="24"/>
          <w:lang w:eastAsia="pl-PL"/>
        </w:rPr>
        <w:t>możliwościa</w:t>
      </w:r>
      <w:proofErr w:type="spellEnd"/>
      <w:r w:rsidRPr="00D714F6">
        <w:rPr>
          <w:rFonts w:eastAsia="Times New Roman" w:cstheme="minorHAnsi"/>
          <w:sz w:val="24"/>
          <w:szCs w:val="24"/>
          <w:lang w:eastAsia="pl-PL"/>
        </w:rPr>
        <w:t xml:space="preserve"> włożenia prowadnicy bez odłączania strzykawki</w:t>
      </w:r>
      <w:r w:rsidRPr="00D714F6">
        <w:rPr>
          <w:rFonts w:cstheme="minorHAnsi"/>
          <w:sz w:val="24"/>
          <w:szCs w:val="24"/>
          <w:lang w:eastAsia="pl-PL"/>
        </w:rPr>
        <w:t>, rozszerzacz naczyniowy 8Fr (2,1mm) x 12cm, korki zabezpieczające</w:t>
      </w:r>
      <w:r>
        <w:rPr>
          <w:rFonts w:cstheme="minorHAnsi"/>
          <w:sz w:val="24"/>
          <w:szCs w:val="24"/>
          <w:lang w:eastAsia="pl-PL"/>
        </w:rPr>
        <w:t xml:space="preserve"> w ilościach odpowiadających kanałom cewnika</w:t>
      </w:r>
      <w:r w:rsidRPr="00D714F6">
        <w:rPr>
          <w:rFonts w:cstheme="minorHAnsi"/>
          <w:sz w:val="24"/>
          <w:szCs w:val="24"/>
          <w:lang w:eastAsia="pl-PL"/>
        </w:rPr>
        <w:t xml:space="preserve"> oraz mocowanie cewnika typu „motylek”. Produkt sterylny z oznakowaniem przepływów na opakowaniu.</w:t>
      </w:r>
    </w:p>
    <w:p w:rsidR="00432E02" w:rsidRPr="00F24FF9" w:rsidRDefault="00432E02" w:rsidP="00432E02">
      <w:pPr>
        <w:spacing w:after="0"/>
      </w:pPr>
      <w:r w:rsidRPr="00F24FF9">
        <w:t>Dotyczy: WCPiT/EA/381-13/2021, Pakiet nr 11, Pozycja 4</w:t>
      </w:r>
    </w:p>
    <w:p w:rsidR="00432E02" w:rsidRDefault="00432E02" w:rsidP="00432E02">
      <w:pPr>
        <w:spacing w:after="0"/>
        <w:rPr>
          <w:rFonts w:cstheme="minorHAnsi"/>
          <w:sz w:val="24"/>
          <w:szCs w:val="24"/>
          <w:lang w:eastAsia="pl-PL"/>
        </w:rPr>
      </w:pPr>
      <w:r w:rsidRPr="00D714F6">
        <w:rPr>
          <w:rFonts w:cstheme="minorHAnsi"/>
          <w:sz w:val="24"/>
          <w:szCs w:val="24"/>
          <w:lang w:eastAsia="pl-PL"/>
        </w:rPr>
        <w:t xml:space="preserve">Czy Zamawiający dopuści </w:t>
      </w:r>
      <w:r w:rsidRPr="00D714F6">
        <w:rPr>
          <w:rFonts w:cstheme="minorHAnsi"/>
          <w:sz w:val="24"/>
          <w:szCs w:val="24"/>
        </w:rPr>
        <w:t xml:space="preserve">zestaw centralnych cewników żylnych </w:t>
      </w:r>
      <w:proofErr w:type="spellStart"/>
      <w:r>
        <w:rPr>
          <w:rFonts w:cstheme="minorHAnsi"/>
          <w:sz w:val="24"/>
          <w:szCs w:val="24"/>
          <w:lang w:eastAsia="pl-PL"/>
        </w:rPr>
        <w:t>cztero</w:t>
      </w:r>
      <w:r w:rsidRPr="00D714F6">
        <w:rPr>
          <w:rFonts w:cstheme="minorHAnsi"/>
          <w:sz w:val="24"/>
          <w:szCs w:val="24"/>
          <w:lang w:eastAsia="pl-PL"/>
        </w:rPr>
        <w:t>światłowy</w:t>
      </w:r>
      <w:proofErr w:type="spellEnd"/>
      <w:r w:rsidRPr="00D714F6">
        <w:rPr>
          <w:rFonts w:cstheme="minorHAnsi"/>
          <w:sz w:val="24"/>
          <w:szCs w:val="24"/>
          <w:lang w:eastAsia="pl-PL"/>
        </w:rPr>
        <w:t xml:space="preserve"> wprowadzany metodą </w:t>
      </w:r>
      <w:proofErr w:type="spellStart"/>
      <w:r w:rsidRPr="00D714F6">
        <w:rPr>
          <w:rFonts w:cstheme="minorHAnsi"/>
          <w:sz w:val="24"/>
          <w:szCs w:val="24"/>
          <w:lang w:eastAsia="pl-PL"/>
        </w:rPr>
        <w:t>Seldingera</w:t>
      </w:r>
      <w:proofErr w:type="spellEnd"/>
      <w:r w:rsidRPr="00D714F6">
        <w:rPr>
          <w:rFonts w:cstheme="minorHAnsi"/>
          <w:sz w:val="24"/>
          <w:szCs w:val="24"/>
          <w:lang w:eastAsia="pl-PL"/>
        </w:rPr>
        <w:t xml:space="preserve">  wykonany z poliuretanu z gładką powierzchnią zewnętrzną. Zestaw posiada znaczoną długość z podaną objętością wypełnienia i szybkość przepływu wraz z miękką zakończoną końcówką. Linie przedłużające wytrzymują wielokrotne zaciskanie i zwalnianie zacisku.  </w:t>
      </w:r>
      <w:r>
        <w:rPr>
          <w:rFonts w:cstheme="minorHAnsi"/>
          <w:sz w:val="24"/>
          <w:szCs w:val="24"/>
          <w:u w:val="single"/>
          <w:lang w:eastAsia="pl-PL"/>
        </w:rPr>
        <w:t>Zestaw o przekroju 8</w:t>
      </w:r>
      <w:r w:rsidRPr="00D714F6">
        <w:rPr>
          <w:rFonts w:cstheme="minorHAnsi"/>
          <w:sz w:val="24"/>
          <w:szCs w:val="24"/>
          <w:u w:val="single"/>
          <w:lang w:eastAsia="pl-PL"/>
        </w:rPr>
        <w:t>Fr o długości 15 cm i 20cm</w:t>
      </w:r>
      <w:r w:rsidRPr="00D714F6">
        <w:rPr>
          <w:rFonts w:cstheme="minorHAnsi"/>
          <w:sz w:val="24"/>
          <w:szCs w:val="24"/>
          <w:lang w:eastAsia="pl-PL"/>
        </w:rPr>
        <w:t xml:space="preserve">  w gotowych zestawach w skład których wchodzi w szczególności: igła wprowadzająca </w:t>
      </w:r>
      <w:proofErr w:type="spellStart"/>
      <w:r w:rsidRPr="00D714F6">
        <w:rPr>
          <w:rFonts w:cstheme="minorHAnsi"/>
          <w:sz w:val="24"/>
          <w:szCs w:val="24"/>
          <w:lang w:eastAsia="pl-PL"/>
        </w:rPr>
        <w:t>introduktora</w:t>
      </w:r>
      <w:proofErr w:type="spellEnd"/>
      <w:r w:rsidRPr="00D714F6">
        <w:rPr>
          <w:rFonts w:cstheme="minorHAnsi"/>
          <w:sz w:val="24"/>
          <w:szCs w:val="24"/>
          <w:lang w:eastAsia="pl-PL"/>
        </w:rPr>
        <w:t xml:space="preserve"> 18G x 7cm (1,25mm x 7cm),  strzykawka o pojemności 5ml, skalpel #11, prowadnica </w:t>
      </w:r>
      <w:r>
        <w:rPr>
          <w:rFonts w:cstheme="minorHAnsi"/>
          <w:sz w:val="24"/>
          <w:szCs w:val="24"/>
          <w:lang w:eastAsia="pl-PL"/>
        </w:rPr>
        <w:t xml:space="preserve">z </w:t>
      </w:r>
      <w:proofErr w:type="spellStart"/>
      <w:r>
        <w:rPr>
          <w:rFonts w:cstheme="minorHAnsi"/>
          <w:sz w:val="24"/>
          <w:szCs w:val="24"/>
          <w:lang w:eastAsia="pl-PL"/>
        </w:rPr>
        <w:t>Nitinolu</w:t>
      </w:r>
      <w:proofErr w:type="spellEnd"/>
      <w:r w:rsidRPr="00D714F6">
        <w:rPr>
          <w:rFonts w:cstheme="minorHAnsi"/>
          <w:sz w:val="24"/>
          <w:szCs w:val="24"/>
          <w:lang w:eastAsia="pl-PL"/>
        </w:rPr>
        <w:t xml:space="preserve"> typu ‘J’ o przekroju 0,032 i długości 50cm</w:t>
      </w:r>
      <w:r w:rsidRPr="00D714F6">
        <w:rPr>
          <w:rFonts w:cstheme="minorHAnsi"/>
          <w:color w:val="000000"/>
          <w:sz w:val="24"/>
          <w:szCs w:val="24"/>
        </w:rPr>
        <w:t xml:space="preserve"> umieszczona w pochewce w kształcie koła z płaskim mechanizmem umożliwiającym wprowadzenie prowadnika jedną ręką</w:t>
      </w:r>
      <w:r w:rsidRPr="00D714F6">
        <w:rPr>
          <w:rFonts w:cstheme="minorHAnsi"/>
          <w:sz w:val="24"/>
          <w:szCs w:val="24"/>
          <w:lang w:eastAsia="pl-PL"/>
        </w:rPr>
        <w:t xml:space="preserve"> , rozszerzacz naczyniowy 8Fr (2,1mm) x 12cm, korki zabezpieczające</w:t>
      </w:r>
      <w:r>
        <w:rPr>
          <w:rFonts w:cstheme="minorHAnsi"/>
          <w:sz w:val="24"/>
          <w:szCs w:val="24"/>
          <w:lang w:eastAsia="pl-PL"/>
        </w:rPr>
        <w:t xml:space="preserve"> w ilościach odpowiadających kanałom cewnika,</w:t>
      </w:r>
      <w:r w:rsidRPr="00F977E2">
        <w:rPr>
          <w:rFonts w:cstheme="minorHAnsi"/>
          <w:sz w:val="24"/>
          <w:szCs w:val="24"/>
        </w:rPr>
        <w:t xml:space="preserve"> </w:t>
      </w:r>
      <w:r w:rsidRPr="00D714F6">
        <w:rPr>
          <w:rFonts w:cstheme="minorHAnsi"/>
          <w:sz w:val="24"/>
          <w:szCs w:val="24"/>
        </w:rPr>
        <w:t>kabel umożliwiający identyfikację położenia cewnika przy pomocy EKG</w:t>
      </w:r>
      <w:r>
        <w:rPr>
          <w:rFonts w:cstheme="minorHAnsi"/>
          <w:sz w:val="24"/>
          <w:szCs w:val="24"/>
        </w:rPr>
        <w:t xml:space="preserve"> </w:t>
      </w:r>
      <w:r w:rsidRPr="00D714F6">
        <w:rPr>
          <w:rFonts w:cstheme="minorHAnsi"/>
          <w:sz w:val="24"/>
          <w:szCs w:val="24"/>
          <w:lang w:eastAsia="pl-PL"/>
        </w:rPr>
        <w:t>oraz mocowanie cewnika typu „motylek”. Produkt sterylny z oznakowaniem przepływów na opakowaniu.</w:t>
      </w:r>
    </w:p>
    <w:p w:rsidR="00432E02" w:rsidRPr="00F24FF9" w:rsidRDefault="00432E02" w:rsidP="00432E02">
      <w:pPr>
        <w:spacing w:after="0"/>
      </w:pPr>
      <w:r w:rsidRPr="00F24FF9">
        <w:t>Dotyczy: WCPiT/EA/381-13/2021, Pakiet nr 11, Pozycja 5</w:t>
      </w:r>
    </w:p>
    <w:p w:rsidR="00432E02" w:rsidRDefault="00432E02" w:rsidP="00432E02">
      <w:pPr>
        <w:spacing w:after="0"/>
        <w:rPr>
          <w:rFonts w:cstheme="minorHAnsi"/>
          <w:sz w:val="24"/>
          <w:szCs w:val="24"/>
          <w:lang w:eastAsia="pl-PL"/>
        </w:rPr>
      </w:pPr>
      <w:r w:rsidRPr="00D714F6">
        <w:rPr>
          <w:rFonts w:cstheme="minorHAnsi"/>
          <w:sz w:val="24"/>
          <w:szCs w:val="24"/>
          <w:lang w:eastAsia="pl-PL"/>
        </w:rPr>
        <w:t xml:space="preserve">Czy Zamawiający dopuści </w:t>
      </w:r>
      <w:r w:rsidRPr="00D714F6">
        <w:rPr>
          <w:rFonts w:cstheme="minorHAnsi"/>
          <w:sz w:val="24"/>
          <w:szCs w:val="24"/>
        </w:rPr>
        <w:t xml:space="preserve">zestaw centralnych cewników żylnych </w:t>
      </w:r>
      <w:proofErr w:type="spellStart"/>
      <w:r>
        <w:rPr>
          <w:rFonts w:cstheme="minorHAnsi"/>
          <w:sz w:val="24"/>
          <w:szCs w:val="24"/>
          <w:lang w:eastAsia="pl-PL"/>
        </w:rPr>
        <w:t>pięcio</w:t>
      </w:r>
      <w:r w:rsidRPr="00D714F6">
        <w:rPr>
          <w:rFonts w:cstheme="minorHAnsi"/>
          <w:sz w:val="24"/>
          <w:szCs w:val="24"/>
          <w:lang w:eastAsia="pl-PL"/>
        </w:rPr>
        <w:t>światłowy</w:t>
      </w:r>
      <w:proofErr w:type="spellEnd"/>
      <w:r w:rsidRPr="00D714F6">
        <w:rPr>
          <w:rFonts w:cstheme="minorHAnsi"/>
          <w:sz w:val="24"/>
          <w:szCs w:val="24"/>
          <w:lang w:eastAsia="pl-PL"/>
        </w:rPr>
        <w:t xml:space="preserve"> wprowadzany metodą </w:t>
      </w:r>
      <w:proofErr w:type="spellStart"/>
      <w:r w:rsidRPr="00D714F6">
        <w:rPr>
          <w:rFonts w:cstheme="minorHAnsi"/>
          <w:sz w:val="24"/>
          <w:szCs w:val="24"/>
          <w:lang w:eastAsia="pl-PL"/>
        </w:rPr>
        <w:t>Seldingera</w:t>
      </w:r>
      <w:proofErr w:type="spellEnd"/>
      <w:r w:rsidRPr="00D714F6">
        <w:rPr>
          <w:rFonts w:cstheme="minorHAnsi"/>
          <w:sz w:val="24"/>
          <w:szCs w:val="24"/>
          <w:lang w:eastAsia="pl-PL"/>
        </w:rPr>
        <w:t xml:space="preserve">  wykonany z poliuretanu z gładką powierzchnią zewnętrzną. Zestaw posiada znaczoną długość z podaną objętością wypełnienia i szybkość przepływu wraz z miękką zakończoną końcówką. Linie przedłużające wytrzymują wielokrotne </w:t>
      </w:r>
      <w:r w:rsidRPr="00D714F6">
        <w:rPr>
          <w:rFonts w:cstheme="minorHAnsi"/>
          <w:sz w:val="24"/>
          <w:szCs w:val="24"/>
          <w:lang w:eastAsia="pl-PL"/>
        </w:rPr>
        <w:lastRenderedPageBreak/>
        <w:t xml:space="preserve">zaciskanie i zwalnianie zacisku.  </w:t>
      </w:r>
      <w:r>
        <w:rPr>
          <w:rFonts w:cstheme="minorHAnsi"/>
          <w:sz w:val="24"/>
          <w:szCs w:val="24"/>
          <w:u w:val="single"/>
          <w:lang w:eastAsia="pl-PL"/>
        </w:rPr>
        <w:t>Zestaw o przekroju 9</w:t>
      </w:r>
      <w:r w:rsidRPr="00D714F6">
        <w:rPr>
          <w:rFonts w:cstheme="minorHAnsi"/>
          <w:sz w:val="24"/>
          <w:szCs w:val="24"/>
          <w:u w:val="single"/>
          <w:lang w:eastAsia="pl-PL"/>
        </w:rPr>
        <w:t xml:space="preserve">Fr o długości </w:t>
      </w:r>
      <w:r>
        <w:rPr>
          <w:rFonts w:cstheme="minorHAnsi"/>
          <w:sz w:val="24"/>
          <w:szCs w:val="24"/>
          <w:u w:val="single"/>
          <w:lang w:eastAsia="pl-PL"/>
        </w:rPr>
        <w:t>30</w:t>
      </w:r>
      <w:r w:rsidRPr="00D714F6">
        <w:rPr>
          <w:rFonts w:cstheme="minorHAnsi"/>
          <w:sz w:val="24"/>
          <w:szCs w:val="24"/>
          <w:u w:val="single"/>
          <w:lang w:eastAsia="pl-PL"/>
        </w:rPr>
        <w:t>cm</w:t>
      </w:r>
      <w:r w:rsidRPr="00D714F6">
        <w:rPr>
          <w:rFonts w:cstheme="minorHAnsi"/>
          <w:sz w:val="24"/>
          <w:szCs w:val="24"/>
          <w:lang w:eastAsia="pl-PL"/>
        </w:rPr>
        <w:t xml:space="preserve">  w gotowych zestawach w skład których wchodzi w szczególności: igła wprowadzająca </w:t>
      </w:r>
      <w:proofErr w:type="spellStart"/>
      <w:r w:rsidRPr="00D714F6">
        <w:rPr>
          <w:rFonts w:cstheme="minorHAnsi"/>
          <w:sz w:val="24"/>
          <w:szCs w:val="24"/>
          <w:lang w:eastAsia="pl-PL"/>
        </w:rPr>
        <w:t>introduktora</w:t>
      </w:r>
      <w:proofErr w:type="spellEnd"/>
      <w:r w:rsidRPr="00D714F6">
        <w:rPr>
          <w:rFonts w:cstheme="minorHAnsi"/>
          <w:sz w:val="24"/>
          <w:szCs w:val="24"/>
          <w:lang w:eastAsia="pl-PL"/>
        </w:rPr>
        <w:t xml:space="preserve"> 18G x 7cm (1,25mm x 7cm),  strzykawka o pojemności 5ml, skalpel #11, prowadnica </w:t>
      </w:r>
      <w:r>
        <w:rPr>
          <w:rFonts w:cstheme="minorHAnsi"/>
          <w:sz w:val="24"/>
          <w:szCs w:val="24"/>
          <w:lang w:eastAsia="pl-PL"/>
        </w:rPr>
        <w:t xml:space="preserve">z </w:t>
      </w:r>
      <w:proofErr w:type="spellStart"/>
      <w:r>
        <w:rPr>
          <w:rFonts w:cstheme="minorHAnsi"/>
          <w:sz w:val="24"/>
          <w:szCs w:val="24"/>
          <w:lang w:eastAsia="pl-PL"/>
        </w:rPr>
        <w:t>Nitinolu</w:t>
      </w:r>
      <w:proofErr w:type="spellEnd"/>
      <w:r w:rsidRPr="00D714F6">
        <w:rPr>
          <w:rFonts w:cstheme="minorHAnsi"/>
          <w:sz w:val="24"/>
          <w:szCs w:val="24"/>
          <w:lang w:eastAsia="pl-PL"/>
        </w:rPr>
        <w:t xml:space="preserve"> typu ‘J’ o przekroju 0,032 i długości 50cm</w:t>
      </w:r>
      <w:r w:rsidRPr="00D714F6">
        <w:rPr>
          <w:rFonts w:cstheme="minorHAnsi"/>
          <w:color w:val="000000"/>
          <w:sz w:val="24"/>
          <w:szCs w:val="24"/>
        </w:rPr>
        <w:t xml:space="preserve"> umieszczona w pochewce w kształcie koła z płaskim mechanizmem umożliwiającym wprowadzenie prowadnika jedną ręką</w:t>
      </w:r>
      <w:r w:rsidRPr="00D714F6">
        <w:rPr>
          <w:rFonts w:cstheme="minorHAnsi"/>
          <w:sz w:val="24"/>
          <w:szCs w:val="24"/>
          <w:lang w:eastAsia="pl-PL"/>
        </w:rPr>
        <w:t xml:space="preserve"> , rozszerzacz naczyniowy 8Fr (2,1mm) x 12cm, korki zabezpieczające</w:t>
      </w:r>
      <w:r>
        <w:rPr>
          <w:rFonts w:cstheme="minorHAnsi"/>
          <w:sz w:val="24"/>
          <w:szCs w:val="24"/>
          <w:lang w:eastAsia="pl-PL"/>
        </w:rPr>
        <w:t xml:space="preserve"> w ilościach odpowiadających kanałom cewnika,</w:t>
      </w:r>
      <w:r w:rsidRPr="00F977E2">
        <w:rPr>
          <w:rFonts w:cstheme="minorHAnsi"/>
          <w:sz w:val="24"/>
          <w:szCs w:val="24"/>
        </w:rPr>
        <w:t xml:space="preserve"> </w:t>
      </w:r>
      <w:r w:rsidRPr="00D714F6">
        <w:rPr>
          <w:rFonts w:cstheme="minorHAnsi"/>
          <w:sz w:val="24"/>
          <w:szCs w:val="24"/>
        </w:rPr>
        <w:t>kabel umożliwiający identyfikację położenia cewnika przy pomocy EKG</w:t>
      </w:r>
      <w:r>
        <w:rPr>
          <w:rFonts w:cstheme="minorHAnsi"/>
          <w:sz w:val="24"/>
          <w:szCs w:val="24"/>
        </w:rPr>
        <w:t xml:space="preserve"> </w:t>
      </w:r>
      <w:r w:rsidRPr="00D714F6">
        <w:rPr>
          <w:rFonts w:cstheme="minorHAnsi"/>
          <w:sz w:val="24"/>
          <w:szCs w:val="24"/>
          <w:lang w:eastAsia="pl-PL"/>
        </w:rPr>
        <w:t>oraz mocowanie cewnika typu „motylek”. Produkt sterylny z oznakowaniem przepływów na opakowaniu.</w:t>
      </w:r>
    </w:p>
    <w:p w:rsidR="007673CD" w:rsidRPr="00873C75" w:rsidRDefault="007673CD" w:rsidP="00432E02">
      <w:pPr>
        <w:spacing w:after="0" w:line="240" w:lineRule="auto"/>
        <w:rPr>
          <w:rFonts w:cs="Tahoma"/>
          <w:b/>
          <w:sz w:val="24"/>
          <w:szCs w:val="24"/>
          <w:u w:val="single"/>
        </w:rPr>
      </w:pPr>
      <w:r w:rsidRPr="00873C75">
        <w:rPr>
          <w:rFonts w:cs="Tahoma"/>
          <w:b/>
          <w:sz w:val="24"/>
          <w:szCs w:val="24"/>
          <w:u w:val="single"/>
        </w:rPr>
        <w:t>Odpowiedź</w:t>
      </w:r>
      <w:r w:rsidR="000E068B" w:rsidRPr="00873C75">
        <w:rPr>
          <w:rFonts w:cs="Tahoma"/>
          <w:b/>
          <w:sz w:val="24"/>
          <w:szCs w:val="24"/>
          <w:u w:val="single"/>
        </w:rPr>
        <w:t xml:space="preserve">: </w:t>
      </w:r>
      <w:r w:rsidR="004C6B4B" w:rsidRPr="00873C75">
        <w:rPr>
          <w:rFonts w:cs="Tahoma"/>
          <w:b/>
          <w:sz w:val="24"/>
          <w:szCs w:val="24"/>
          <w:u w:val="single"/>
        </w:rPr>
        <w:t xml:space="preserve">Zamawiający </w:t>
      </w:r>
      <w:r w:rsidR="004C6B4B" w:rsidRPr="00873C75">
        <w:rPr>
          <w:rFonts w:ascii="Verdana" w:hAnsi="Verdana" w:cs="Tahoma"/>
          <w:b/>
          <w:sz w:val="20"/>
          <w:szCs w:val="20"/>
          <w:u w:val="single"/>
        </w:rPr>
        <w:t>pozostawia</w:t>
      </w:r>
      <w:r w:rsidR="004C6B4B" w:rsidRPr="00873C75">
        <w:rPr>
          <w:rFonts w:cs="Tahoma"/>
          <w:b/>
          <w:sz w:val="24"/>
          <w:szCs w:val="24"/>
          <w:u w:val="single"/>
        </w:rPr>
        <w:t xml:space="preserve"> zapisy SWZ bez zmian.</w:t>
      </w:r>
    </w:p>
    <w:p w:rsidR="00432E02" w:rsidRDefault="00432E02" w:rsidP="00432E02">
      <w:pPr>
        <w:spacing w:after="0" w:line="240" w:lineRule="auto"/>
        <w:rPr>
          <w:rFonts w:cs="Tahoma"/>
          <w:b/>
          <w:sz w:val="20"/>
          <w:szCs w:val="20"/>
        </w:rPr>
      </w:pPr>
    </w:p>
    <w:p w:rsidR="00432E02" w:rsidRPr="00F24FF9" w:rsidRDefault="00873C75" w:rsidP="00432E02">
      <w:pPr>
        <w:spacing w:after="0" w:line="240" w:lineRule="auto"/>
        <w:jc w:val="both"/>
        <w:rPr>
          <w:rFonts w:ascii="Verdana" w:hAnsi="Verdana" w:cs="Tahoma"/>
          <w:b/>
          <w:sz w:val="20"/>
          <w:szCs w:val="20"/>
          <w:u w:val="single"/>
        </w:rPr>
      </w:pPr>
      <w:r w:rsidRPr="00F24FF9">
        <w:rPr>
          <w:rFonts w:ascii="Verdana" w:hAnsi="Verdana" w:cs="Tahoma"/>
          <w:b/>
          <w:sz w:val="20"/>
          <w:szCs w:val="20"/>
          <w:u w:val="single"/>
        </w:rPr>
        <w:t>PYTANIA</w:t>
      </w:r>
      <w:r w:rsidR="00432E02" w:rsidRPr="00F24FF9">
        <w:rPr>
          <w:rFonts w:ascii="Verdana" w:hAnsi="Verdana" w:cs="Tahoma"/>
          <w:b/>
          <w:sz w:val="20"/>
          <w:szCs w:val="20"/>
          <w:u w:val="single"/>
        </w:rPr>
        <w:t xml:space="preserve"> 2:</w:t>
      </w:r>
    </w:p>
    <w:p w:rsidR="00432E02" w:rsidRDefault="00873C75" w:rsidP="00432E02">
      <w:pPr>
        <w:spacing w:after="0"/>
      </w:pPr>
      <w:r>
        <w:t>0</w:t>
      </w:r>
      <w:r w:rsidR="00432E02">
        <w:t xml:space="preserve">Dotyczy: </w:t>
      </w:r>
      <w:r w:rsidR="00432E02" w:rsidRPr="00306570">
        <w:t>WCPiT/EA/381-13/2021</w:t>
      </w:r>
      <w:r w:rsidR="00432E02">
        <w:t>, Pakiet nr 11, Pozycja 1-5</w:t>
      </w:r>
    </w:p>
    <w:p w:rsidR="00432E02" w:rsidRDefault="00432E02" w:rsidP="00432E02">
      <w:pPr>
        <w:spacing w:after="0"/>
      </w:pPr>
      <w:r>
        <w:t xml:space="preserve">Czy Zamawiający wydzieli pozycje 1-5 z Pakietu nr 11 i stworzy oddzielny pakiet? </w:t>
      </w:r>
    </w:p>
    <w:p w:rsidR="004C6B4B" w:rsidRPr="00873C75" w:rsidRDefault="004C6B4B" w:rsidP="004C6B4B">
      <w:pPr>
        <w:spacing w:after="0" w:line="240" w:lineRule="auto"/>
        <w:rPr>
          <w:rFonts w:ascii="Verdana" w:hAnsi="Verdana" w:cs="Tahoma"/>
          <w:b/>
          <w:sz w:val="20"/>
          <w:szCs w:val="20"/>
          <w:u w:val="single"/>
        </w:rPr>
      </w:pPr>
      <w:r w:rsidRPr="00873C75">
        <w:rPr>
          <w:rFonts w:ascii="Verdana" w:hAnsi="Verdana" w:cs="Tahoma"/>
          <w:b/>
          <w:sz w:val="20"/>
          <w:szCs w:val="20"/>
          <w:u w:val="single"/>
        </w:rPr>
        <w:t>Odpowiedź: Zamawiający pozostawia zapisy SWZ bez zmian.</w:t>
      </w:r>
    </w:p>
    <w:p w:rsidR="00432E02" w:rsidRDefault="00432E02" w:rsidP="007673CD">
      <w:pPr>
        <w:spacing w:after="0" w:line="240" w:lineRule="auto"/>
        <w:jc w:val="both"/>
        <w:rPr>
          <w:rFonts w:cs="Tahoma"/>
          <w:b/>
          <w:sz w:val="20"/>
          <w:szCs w:val="20"/>
        </w:rPr>
      </w:pPr>
    </w:p>
    <w:p w:rsidR="00432E02" w:rsidRPr="00F24FF9" w:rsidRDefault="00873C75" w:rsidP="00432E02">
      <w:pPr>
        <w:spacing w:after="0" w:line="240" w:lineRule="auto"/>
        <w:jc w:val="both"/>
        <w:rPr>
          <w:rFonts w:ascii="Verdana" w:hAnsi="Verdana" w:cs="Tahoma"/>
          <w:b/>
          <w:sz w:val="20"/>
          <w:szCs w:val="20"/>
          <w:u w:val="single"/>
        </w:rPr>
      </w:pPr>
      <w:r w:rsidRPr="00F24FF9">
        <w:rPr>
          <w:rFonts w:ascii="Verdana" w:hAnsi="Verdana" w:cs="Tahoma"/>
          <w:b/>
          <w:sz w:val="20"/>
          <w:szCs w:val="20"/>
          <w:u w:val="single"/>
        </w:rPr>
        <w:t>PYTANIA</w:t>
      </w:r>
      <w:r w:rsidR="00432E02" w:rsidRPr="00F24FF9">
        <w:rPr>
          <w:rFonts w:ascii="Verdana" w:hAnsi="Verdana" w:cs="Tahoma"/>
          <w:b/>
          <w:sz w:val="20"/>
          <w:szCs w:val="20"/>
          <w:u w:val="single"/>
        </w:rPr>
        <w:t xml:space="preserve"> 3:</w:t>
      </w:r>
    </w:p>
    <w:p w:rsidR="00432E02" w:rsidRPr="00F24FF9" w:rsidRDefault="00432E02" w:rsidP="00432E02">
      <w:pPr>
        <w:spacing w:after="0" w:line="240" w:lineRule="auto"/>
        <w:rPr>
          <w:rFonts w:ascii="Times New Roman" w:eastAsia="Times New Roman" w:hAnsi="Times New Roman"/>
          <w:sz w:val="24"/>
          <w:szCs w:val="24"/>
          <w:lang w:eastAsia="pl-PL"/>
        </w:rPr>
      </w:pPr>
      <w:r w:rsidRPr="00F24FF9">
        <w:rPr>
          <w:rFonts w:ascii="Times New Roman" w:eastAsia="Times New Roman" w:hAnsi="Times New Roman"/>
          <w:bCs/>
          <w:lang w:eastAsia="pl-PL"/>
        </w:rPr>
        <w:t>Pytanie nr 1 dotyczy pakietu nr  13 pozycja 3 :</w:t>
      </w:r>
    </w:p>
    <w:p w:rsidR="00432E02" w:rsidRPr="00B73509" w:rsidRDefault="00432E02" w:rsidP="00432E02">
      <w:pPr>
        <w:spacing w:after="0" w:line="240" w:lineRule="auto"/>
        <w:rPr>
          <w:rFonts w:ascii="Times New Roman" w:eastAsia="Times New Roman" w:hAnsi="Times New Roman"/>
          <w:sz w:val="24"/>
          <w:szCs w:val="24"/>
          <w:lang w:eastAsia="pl-PL"/>
        </w:rPr>
      </w:pPr>
      <w:r w:rsidRPr="00B73509">
        <w:rPr>
          <w:rFonts w:ascii="Times New Roman" w:eastAsia="Times New Roman" w:hAnsi="Times New Roman"/>
          <w:lang w:eastAsia="pl-PL"/>
        </w:rPr>
        <w:t>W kolumnie drugiej załącznika nr 1 - Formularz cenowego dla pozycja 3 Zamawiający podał opis igły do portów : </w:t>
      </w:r>
    </w:p>
    <w:p w:rsidR="00432E02" w:rsidRPr="00B73509" w:rsidRDefault="00432E02" w:rsidP="00432E02">
      <w:pPr>
        <w:spacing w:after="0" w:line="240" w:lineRule="auto"/>
        <w:rPr>
          <w:rFonts w:ascii="Times New Roman" w:eastAsia="Times New Roman" w:hAnsi="Times New Roman"/>
          <w:sz w:val="24"/>
          <w:szCs w:val="24"/>
          <w:lang w:eastAsia="pl-PL"/>
        </w:rPr>
      </w:pPr>
      <w:r w:rsidRPr="00B73509">
        <w:rPr>
          <w:rFonts w:ascii="Times New Roman" w:eastAsia="Times New Roman" w:hAnsi="Times New Roman"/>
          <w:lang w:eastAsia="pl-PL"/>
        </w:rPr>
        <w:t xml:space="preserve">Igła do portów z ostrzem Hubera, ze skrzydełkami, zagięta pod kątem 90º, z przedłużeniem PVC bez DEHP o długości 25cm (całość), z zaciskiem  i łącznikiem </w:t>
      </w:r>
      <w:proofErr w:type="spellStart"/>
      <w:r w:rsidRPr="00B73509">
        <w:rPr>
          <w:rFonts w:ascii="Times New Roman" w:eastAsia="Times New Roman" w:hAnsi="Times New Roman"/>
          <w:lang w:eastAsia="pl-PL"/>
        </w:rPr>
        <w:t>Luer</w:t>
      </w:r>
      <w:proofErr w:type="spellEnd"/>
      <w:r w:rsidRPr="00B73509">
        <w:rPr>
          <w:rFonts w:ascii="Times New Roman" w:eastAsia="Times New Roman" w:hAnsi="Times New Roman"/>
          <w:lang w:eastAsia="pl-PL"/>
        </w:rPr>
        <w:t xml:space="preserve"> Lock. Duże, elastyczne i wygodne skrzydełka o powierzchni </w:t>
      </w:r>
      <w:proofErr w:type="spellStart"/>
      <w:r w:rsidRPr="00B73509">
        <w:rPr>
          <w:rFonts w:ascii="Times New Roman" w:eastAsia="Times New Roman" w:hAnsi="Times New Roman"/>
          <w:lang w:eastAsia="pl-PL"/>
        </w:rPr>
        <w:t>antyposlizgowej</w:t>
      </w:r>
      <w:proofErr w:type="spellEnd"/>
      <w:r w:rsidRPr="00B73509">
        <w:rPr>
          <w:rFonts w:ascii="Times New Roman" w:eastAsia="Times New Roman" w:hAnsi="Times New Roman"/>
          <w:lang w:eastAsia="pl-PL"/>
        </w:rPr>
        <w:t>.</w:t>
      </w:r>
      <w:r w:rsidRPr="00B73509">
        <w:rPr>
          <w:rFonts w:ascii="Times New Roman" w:eastAsia="Times New Roman" w:hAnsi="Times New Roman"/>
          <w:lang w:eastAsia="pl-PL"/>
        </w:rPr>
        <w:br/>
        <w:t>Skrzydełka kodowane kolorami zgodnie z rozmiarem igły. ( 20 G – czarna, 22 G – żółta , 19 G beżowa )</w:t>
      </w:r>
      <w:r w:rsidRPr="00B73509">
        <w:rPr>
          <w:rFonts w:ascii="Times New Roman" w:eastAsia="Times New Roman" w:hAnsi="Times New Roman"/>
          <w:lang w:eastAsia="pl-PL"/>
        </w:rPr>
        <w:br/>
        <w:t xml:space="preserve">Możliwość podawania </w:t>
      </w:r>
      <w:proofErr w:type="spellStart"/>
      <w:r w:rsidRPr="00B73509">
        <w:rPr>
          <w:rFonts w:ascii="Times New Roman" w:eastAsia="Times New Roman" w:hAnsi="Times New Roman"/>
          <w:lang w:eastAsia="pl-PL"/>
        </w:rPr>
        <w:t>cytostatyków</w:t>
      </w:r>
      <w:proofErr w:type="spellEnd"/>
      <w:r w:rsidRPr="00B73509">
        <w:rPr>
          <w:rFonts w:ascii="Times New Roman" w:eastAsia="Times New Roman" w:hAnsi="Times New Roman"/>
          <w:lang w:eastAsia="pl-PL"/>
        </w:rPr>
        <w:t>, kompatybilna z tomografią komputerową i rezonansem magnetycznym.</w:t>
      </w:r>
      <w:r w:rsidRPr="00B73509">
        <w:rPr>
          <w:rFonts w:ascii="Times New Roman" w:eastAsia="Times New Roman" w:hAnsi="Times New Roman"/>
          <w:lang w:eastAsia="pl-PL"/>
        </w:rPr>
        <w:br/>
        <w:t>Rozmiary :</w:t>
      </w:r>
      <w:r w:rsidRPr="00B73509">
        <w:rPr>
          <w:rFonts w:ascii="Times New Roman" w:eastAsia="Times New Roman" w:hAnsi="Times New Roman"/>
          <w:lang w:eastAsia="pl-PL"/>
        </w:rPr>
        <w:br/>
        <w:t>długości od 15,17,20,25,30 i 35 mm </w:t>
      </w:r>
      <w:r w:rsidRPr="00B73509">
        <w:rPr>
          <w:rFonts w:ascii="Times New Roman" w:eastAsia="Times New Roman" w:hAnsi="Times New Roman"/>
          <w:lang w:eastAsia="pl-PL"/>
        </w:rPr>
        <w:br/>
        <w:t>grubości  19G, 20G i 22G </w:t>
      </w:r>
    </w:p>
    <w:p w:rsidR="00432E02" w:rsidRDefault="00432E02" w:rsidP="00432E02">
      <w:pPr>
        <w:spacing w:after="0" w:line="240" w:lineRule="auto"/>
        <w:rPr>
          <w:rFonts w:ascii="Times New Roman" w:eastAsia="Times New Roman" w:hAnsi="Times New Roman"/>
          <w:lang w:eastAsia="pl-PL"/>
        </w:rPr>
      </w:pPr>
      <w:r w:rsidRPr="00B73509">
        <w:rPr>
          <w:rFonts w:ascii="Times New Roman" w:eastAsia="Times New Roman" w:hAnsi="Times New Roman"/>
          <w:lang w:eastAsia="pl-PL"/>
        </w:rPr>
        <w:t>Prosimy o dopuszczenie możliwości wprowadzenia zakresu długości igieł : 15-20mm, 20-25mm oraz 25-38mm. Wprowadzone zmiany nie będę miały wpływu na prowadzoną terapię. Oznaczenie kolorami na opakowaniu zewnętrznym </w:t>
      </w:r>
    </w:p>
    <w:p w:rsidR="004C6B4B" w:rsidRPr="00873C75" w:rsidRDefault="004C6B4B" w:rsidP="004C6B4B">
      <w:pPr>
        <w:spacing w:after="0" w:line="240" w:lineRule="auto"/>
        <w:rPr>
          <w:rFonts w:ascii="Verdana" w:hAnsi="Verdana" w:cs="Tahoma"/>
          <w:b/>
          <w:sz w:val="20"/>
          <w:szCs w:val="20"/>
          <w:u w:val="single"/>
        </w:rPr>
      </w:pPr>
      <w:r w:rsidRPr="00873C75">
        <w:rPr>
          <w:rFonts w:ascii="Verdana" w:hAnsi="Verdana" w:cs="Tahoma"/>
          <w:b/>
          <w:sz w:val="20"/>
          <w:szCs w:val="20"/>
          <w:u w:val="single"/>
        </w:rPr>
        <w:t>Odpowiedź: Tak, Zamawiający dopuszcza proponowane parametry w zakresie objętym pytaniem.</w:t>
      </w:r>
    </w:p>
    <w:p w:rsidR="00432E02" w:rsidRDefault="00432E02" w:rsidP="007673CD">
      <w:pPr>
        <w:spacing w:after="0" w:line="240" w:lineRule="auto"/>
        <w:jc w:val="both"/>
        <w:rPr>
          <w:rFonts w:cs="Tahoma"/>
          <w:b/>
          <w:sz w:val="20"/>
          <w:szCs w:val="20"/>
        </w:rPr>
      </w:pPr>
    </w:p>
    <w:p w:rsidR="00432E02" w:rsidRPr="00432E02" w:rsidRDefault="00873C75" w:rsidP="00432E02">
      <w:pPr>
        <w:spacing w:after="0" w:line="240" w:lineRule="auto"/>
        <w:jc w:val="both"/>
        <w:rPr>
          <w:rFonts w:ascii="Verdana" w:hAnsi="Verdana" w:cs="Tahoma"/>
          <w:b/>
          <w:sz w:val="20"/>
          <w:szCs w:val="20"/>
          <w:u w:val="single"/>
        </w:rPr>
      </w:pPr>
      <w:r>
        <w:rPr>
          <w:rFonts w:ascii="Verdana" w:hAnsi="Verdana" w:cs="Tahoma"/>
          <w:b/>
          <w:sz w:val="20"/>
          <w:szCs w:val="20"/>
        </w:rPr>
        <w:t>PYTANIA</w:t>
      </w:r>
      <w:r w:rsidR="00432E02" w:rsidRPr="00432E02">
        <w:rPr>
          <w:rFonts w:ascii="Verdana" w:hAnsi="Verdana" w:cs="Tahoma"/>
          <w:b/>
          <w:sz w:val="20"/>
          <w:szCs w:val="20"/>
        </w:rPr>
        <w:t xml:space="preserve"> 4:</w:t>
      </w:r>
    </w:p>
    <w:p w:rsidR="00432E02" w:rsidRDefault="00432E02" w:rsidP="007673CD">
      <w:pPr>
        <w:spacing w:after="0" w:line="240" w:lineRule="auto"/>
        <w:jc w:val="both"/>
      </w:pPr>
      <w:r>
        <w:t xml:space="preserve">Pytanie 1 Czy Zamawiający w pakiecie 9 </w:t>
      </w:r>
      <w:proofErr w:type="spellStart"/>
      <w:r>
        <w:t>poz</w:t>
      </w:r>
      <w:proofErr w:type="spellEnd"/>
      <w:r>
        <w:t xml:space="preserve"> 1 dopuści przenośny, jałowy, </w:t>
      </w:r>
      <w:proofErr w:type="spellStart"/>
      <w:r>
        <w:t>apirogenny</w:t>
      </w:r>
      <w:proofErr w:type="spellEnd"/>
      <w:r>
        <w:t xml:space="preserve"> system infuzyjny wykorzystujący zbiornik elastomerowy z poliizoprenu oraz ogranicznik przepływu, zapewniający przepływ leku przez określony czas przy nominalnej prędkości przepływu w systemie zamkniętym. Urządzenie wyposażone w filtr cząstek stałych wbudowany w zbiornik elastomerowy (bez filtra na przebiegu linii-zapewniając tym samym podanie leku w bezpiecznym dla pacjenta i personelu systemie zamkniętym). W elementach mających kontakt z podawanym lekiem wolne od </w:t>
      </w:r>
      <w:r>
        <w:lastRenderedPageBreak/>
        <w:t xml:space="preserve">DEHP. Zbiornik elastomeru umieszczony w zewnętrznej obudowie blokującej promieniowanie UV do długości fali 380 </w:t>
      </w:r>
      <w:proofErr w:type="spellStart"/>
      <w:r>
        <w:t>nm</w:t>
      </w:r>
      <w:proofErr w:type="spellEnd"/>
      <w:r>
        <w:t xml:space="preserve">, umożliwiającej wizualną kontrolę postępu wlewu. Port do napełniania urządzenia wbudowany w kapturek wyposażony w połączenie </w:t>
      </w:r>
      <w:proofErr w:type="spellStart"/>
      <w:r>
        <w:t>Luer-lock</w:t>
      </w:r>
      <w:proofErr w:type="spellEnd"/>
      <w:r>
        <w:t xml:space="preserve">, zapewniające możliwość szczelnego podłączenia strzykawki i zabezpieczenia portu korkiem po wypełnieniu. System infuzyjny sprawdzony pod względem stabilności ze stosowanymi cytostatykami (np. 5-FU). Urządzenie pakowane pojedynczo, dla każdego pacjenta futerał. System infuzyjny sklasyfikowany jako wyrób medyczny klasy II b - 1 </w:t>
      </w:r>
      <w:proofErr w:type="spellStart"/>
      <w:r>
        <w:t>szt</w:t>
      </w:r>
      <w:proofErr w:type="spellEnd"/>
      <w:r>
        <w:t xml:space="preserve">; obj. nominalna 240 ml, a </w:t>
      </w:r>
      <w:proofErr w:type="spellStart"/>
      <w:r>
        <w:t>max</w:t>
      </w:r>
      <w:proofErr w:type="spellEnd"/>
      <w:r>
        <w:t xml:space="preserve">. 300 ml; nominalna prędkość przepływu 10 ml/h, nominalny czas pracy 24h Ponadto, czy zamawiający wymaga podania leku w systemie zamkniętym (czyli bez filtrów na przebiegu linii) – jedynym bezpiecznym zarówno dla pacjenta i personelu. Norma ISO 28620 dotycząca przenośnych urządzeń infuzyjnych podkreśla, że wszystkie elementy urządzenia przeznaczone do kontaktu z lekiem stanowią zamknięty, wodoszczelny system. Jedynie system zamknięty (bez filtrów na linii) uniemożliwia wnikanie drobnoustrojów i zapobiega potencjalnym wyciekom leku. W przypadku gdy ogranicznik przepływu znajduje się w innym miejscu na linii infuzyjnej, poza końcówką </w:t>
      </w:r>
      <w:proofErr w:type="spellStart"/>
      <w:r>
        <w:t>dystalną</w:t>
      </w:r>
      <w:proofErr w:type="spellEnd"/>
      <w:r>
        <w:t xml:space="preserve">, skutkuje to koniecznością dodatkowego mocowania drugiego elementu do skóry pacjenta (jak na załączonym zdjęciu pochodzącym z przykładowego materiału skierowanego do pacjentów) Brak prawidłowego mocowania ogranicznika przepływu uniemożliwia prawidłową kalibrację prędkości z jaką podawany jest lek, co jak wiadomo w przypadku pomp elastomerowych jest kluczowe. Czy Zamawiający wymaga także systemu infuzyjnego wykorzystującego zbiornik elastomerowy z „czystego” poliizoprenu, bez domieszki silikonu i innych materiałów? Jedynie poliizopren bez dodatków jest w pełni przepuszczalny dla gazów, dzięki czemu pęcherzyki powietrza, które mogą pojawić się podczas napełniania </w:t>
      </w:r>
      <w:proofErr w:type="spellStart"/>
      <w:r>
        <w:t>infuzora</w:t>
      </w:r>
      <w:proofErr w:type="spellEnd"/>
      <w:r>
        <w:t xml:space="preserve">, w ciągu kilku godzin przechodzą przez elastomer do przestrzeni między </w:t>
      </w:r>
      <w:proofErr w:type="spellStart"/>
      <w:r>
        <w:t>między</w:t>
      </w:r>
      <w:proofErr w:type="spellEnd"/>
      <w:r>
        <w:t xml:space="preserve"> balonem a butelką.</w:t>
      </w:r>
    </w:p>
    <w:p w:rsidR="004C6B4B" w:rsidRPr="00873C75" w:rsidRDefault="004C6B4B" w:rsidP="004C6B4B">
      <w:pPr>
        <w:spacing w:after="0" w:line="240" w:lineRule="auto"/>
        <w:rPr>
          <w:rFonts w:ascii="Verdana" w:hAnsi="Verdana" w:cs="Tahoma"/>
          <w:b/>
          <w:sz w:val="20"/>
          <w:szCs w:val="20"/>
          <w:u w:val="single"/>
        </w:rPr>
      </w:pPr>
      <w:r w:rsidRPr="00873C75">
        <w:rPr>
          <w:rFonts w:ascii="Verdana" w:hAnsi="Verdana" w:cs="Tahoma"/>
          <w:b/>
          <w:sz w:val="20"/>
          <w:szCs w:val="20"/>
          <w:u w:val="single"/>
        </w:rPr>
        <w:t>Odpowiedź: Zamawiający pozostawia zapisy SWZ bez zmian.</w:t>
      </w:r>
    </w:p>
    <w:p w:rsidR="00432E02" w:rsidRDefault="00432E02" w:rsidP="007673CD">
      <w:pPr>
        <w:spacing w:after="0" w:line="240" w:lineRule="auto"/>
        <w:jc w:val="both"/>
      </w:pPr>
    </w:p>
    <w:p w:rsidR="00432E02" w:rsidRPr="00432E02" w:rsidRDefault="00873C75" w:rsidP="00432E02">
      <w:pPr>
        <w:spacing w:after="0" w:line="240" w:lineRule="auto"/>
        <w:jc w:val="both"/>
        <w:rPr>
          <w:rFonts w:ascii="Verdana" w:hAnsi="Verdana" w:cs="Tahoma"/>
          <w:b/>
          <w:sz w:val="20"/>
          <w:szCs w:val="20"/>
          <w:u w:val="single"/>
        </w:rPr>
      </w:pPr>
      <w:r>
        <w:rPr>
          <w:rFonts w:ascii="Verdana" w:hAnsi="Verdana" w:cs="Tahoma"/>
          <w:b/>
          <w:sz w:val="20"/>
          <w:szCs w:val="20"/>
        </w:rPr>
        <w:t>PYTANIA</w:t>
      </w:r>
      <w:r w:rsidR="00432E02" w:rsidRPr="00432E02">
        <w:rPr>
          <w:rFonts w:ascii="Verdana" w:hAnsi="Verdana" w:cs="Tahoma"/>
          <w:b/>
          <w:sz w:val="20"/>
          <w:szCs w:val="20"/>
        </w:rPr>
        <w:t xml:space="preserve"> 5:</w:t>
      </w:r>
    </w:p>
    <w:p w:rsidR="00432E02" w:rsidRPr="00D00519" w:rsidRDefault="00432E02" w:rsidP="0065428F">
      <w:pPr>
        <w:spacing w:after="0"/>
        <w:rPr>
          <w:rFonts w:ascii="Arial" w:hAnsi="Arial" w:cs="Arial"/>
        </w:rPr>
      </w:pPr>
      <w:r w:rsidRPr="00D00519">
        <w:rPr>
          <w:rFonts w:ascii="Arial" w:hAnsi="Arial" w:cs="Arial"/>
        </w:rPr>
        <w:t xml:space="preserve">Pakiet nr </w:t>
      </w:r>
      <w:r>
        <w:rPr>
          <w:rFonts w:ascii="Arial" w:hAnsi="Arial" w:cs="Arial"/>
        </w:rPr>
        <w:t>10</w:t>
      </w:r>
      <w:r w:rsidRPr="00D00519">
        <w:rPr>
          <w:rFonts w:ascii="Arial" w:hAnsi="Arial" w:cs="Arial"/>
        </w:rPr>
        <w:t xml:space="preserve">. </w:t>
      </w:r>
    </w:p>
    <w:p w:rsidR="00432E02" w:rsidRPr="00D00519" w:rsidRDefault="00432E02" w:rsidP="00432E02">
      <w:pPr>
        <w:pStyle w:val="Akapitzlist"/>
        <w:numPr>
          <w:ilvl w:val="0"/>
          <w:numId w:val="1"/>
        </w:numPr>
        <w:spacing w:line="259" w:lineRule="auto"/>
        <w:jc w:val="left"/>
        <w:rPr>
          <w:rFonts w:ascii="Arial" w:hAnsi="Arial" w:cs="Arial"/>
        </w:rPr>
      </w:pPr>
      <w:r w:rsidRPr="00D00519">
        <w:rPr>
          <w:rFonts w:ascii="Arial" w:hAnsi="Arial" w:cs="Arial"/>
        </w:rPr>
        <w:t xml:space="preserve">Czy Zamawiający dopuści zaoferowanie zestawu ze zgłębnikiem wykonanym z silikonu, z wewnętrznym wspornikiem w kształcie kopułki, o konstrukcji umożliwiającej jego usunięcie bez pomocy obturatora i bez konieczności wykonywana endoskopii, skład zestawu: 1 zgłębnik do gastrostomii, 1 zewnętrzny wspornik zatrzymujący, </w:t>
      </w:r>
      <w:r>
        <w:rPr>
          <w:rFonts w:ascii="Arial" w:hAnsi="Arial" w:cs="Arial"/>
        </w:rPr>
        <w:t xml:space="preserve">                    1</w:t>
      </w:r>
      <w:r w:rsidRPr="00D00519">
        <w:rPr>
          <w:rFonts w:ascii="Arial" w:hAnsi="Arial" w:cs="Arial"/>
        </w:rPr>
        <w:t xml:space="preserve"> końcówk</w:t>
      </w:r>
      <w:r>
        <w:rPr>
          <w:rFonts w:ascii="Arial" w:hAnsi="Arial" w:cs="Arial"/>
        </w:rPr>
        <w:t>a</w:t>
      </w:r>
      <w:r w:rsidRPr="00D00519">
        <w:rPr>
          <w:rFonts w:ascii="Arial" w:hAnsi="Arial" w:cs="Arial"/>
        </w:rPr>
        <w:t xml:space="preserve"> typu Y</w:t>
      </w:r>
      <w:r>
        <w:rPr>
          <w:rFonts w:ascii="Arial" w:hAnsi="Arial" w:cs="Arial"/>
        </w:rPr>
        <w:t xml:space="preserve"> </w:t>
      </w:r>
      <w:proofErr w:type="spellStart"/>
      <w:r>
        <w:rPr>
          <w:rFonts w:ascii="Arial" w:hAnsi="Arial" w:cs="Arial"/>
        </w:rPr>
        <w:t>EnFit</w:t>
      </w:r>
      <w:proofErr w:type="spellEnd"/>
      <w:r w:rsidRPr="00D00519">
        <w:rPr>
          <w:rFonts w:ascii="Arial" w:hAnsi="Arial" w:cs="Arial"/>
        </w:rPr>
        <w:t xml:space="preserve"> do podawania pokarmu i leków,</w:t>
      </w:r>
      <w:r>
        <w:rPr>
          <w:rFonts w:ascii="Arial" w:hAnsi="Arial" w:cs="Arial"/>
        </w:rPr>
        <w:t xml:space="preserve"> </w:t>
      </w:r>
      <w:r w:rsidRPr="00D00519">
        <w:rPr>
          <w:rFonts w:ascii="Arial" w:hAnsi="Arial" w:cs="Arial"/>
        </w:rPr>
        <w:t xml:space="preserve"> </w:t>
      </w:r>
      <w:r>
        <w:rPr>
          <w:rFonts w:ascii="Arial" w:hAnsi="Arial" w:cs="Arial"/>
        </w:rPr>
        <w:t>1</w:t>
      </w:r>
      <w:r w:rsidRPr="00D00519">
        <w:rPr>
          <w:rFonts w:ascii="Arial" w:hAnsi="Arial" w:cs="Arial"/>
        </w:rPr>
        <w:t xml:space="preserve"> końcówk</w:t>
      </w:r>
      <w:r>
        <w:rPr>
          <w:rFonts w:ascii="Arial" w:hAnsi="Arial" w:cs="Arial"/>
        </w:rPr>
        <w:t>a</w:t>
      </w:r>
      <w:r w:rsidRPr="00D00519">
        <w:rPr>
          <w:rFonts w:ascii="Arial" w:hAnsi="Arial" w:cs="Arial"/>
        </w:rPr>
        <w:t xml:space="preserve"> typu Y</w:t>
      </w:r>
      <w:r>
        <w:rPr>
          <w:rFonts w:ascii="Arial" w:hAnsi="Arial" w:cs="Arial"/>
        </w:rPr>
        <w:t xml:space="preserve"> stożkowa </w:t>
      </w:r>
      <w:r w:rsidRPr="00D00519">
        <w:rPr>
          <w:rFonts w:ascii="Arial" w:hAnsi="Arial" w:cs="Arial"/>
        </w:rPr>
        <w:t>do podawania pokarmu i leków</w:t>
      </w:r>
      <w:r>
        <w:rPr>
          <w:rFonts w:ascii="Arial" w:hAnsi="Arial" w:cs="Arial"/>
        </w:rPr>
        <w:t xml:space="preserve">, </w:t>
      </w:r>
      <w:r w:rsidRPr="00D00519">
        <w:rPr>
          <w:rFonts w:ascii="Arial" w:hAnsi="Arial" w:cs="Arial"/>
        </w:rPr>
        <w:t xml:space="preserve">1 drut do przeciągania zgłębnika, </w:t>
      </w:r>
      <w:r>
        <w:rPr>
          <w:rFonts w:ascii="Arial" w:hAnsi="Arial" w:cs="Arial"/>
        </w:rPr>
        <w:t xml:space="preserve">               </w:t>
      </w:r>
      <w:r w:rsidRPr="00D00519">
        <w:rPr>
          <w:rFonts w:ascii="Arial" w:hAnsi="Arial" w:cs="Arial"/>
        </w:rPr>
        <w:t xml:space="preserve">1 igła z mandrynem do przeprowadzania drutu, 1 zacisk do zamykania zgłębnika, </w:t>
      </w:r>
      <w:r>
        <w:rPr>
          <w:rFonts w:ascii="Arial" w:hAnsi="Arial" w:cs="Arial"/>
        </w:rPr>
        <w:t xml:space="preserve">                   </w:t>
      </w:r>
      <w:r w:rsidRPr="00D00519">
        <w:rPr>
          <w:rFonts w:ascii="Arial" w:hAnsi="Arial" w:cs="Arial"/>
        </w:rPr>
        <w:t xml:space="preserve">1 strzykawka 10 ml, 1 igła 19 G/ 40 mm, 1 igła 25 G/ 20 mm, 1 skalpel nr 11, </w:t>
      </w:r>
      <w:r>
        <w:rPr>
          <w:rFonts w:ascii="Arial" w:hAnsi="Arial" w:cs="Arial"/>
        </w:rPr>
        <w:t xml:space="preserve">                   </w:t>
      </w:r>
      <w:r w:rsidRPr="00D00519">
        <w:rPr>
          <w:rFonts w:ascii="Arial" w:hAnsi="Arial" w:cs="Arial"/>
        </w:rPr>
        <w:t>4 gaziki 10 cm x 10 cm, 1 zasłona z otworami,</w:t>
      </w:r>
      <w:r>
        <w:rPr>
          <w:rFonts w:ascii="Arial" w:hAnsi="Arial" w:cs="Arial"/>
        </w:rPr>
        <w:t xml:space="preserve"> </w:t>
      </w:r>
      <w:r w:rsidRPr="00D00519">
        <w:rPr>
          <w:rFonts w:ascii="Arial" w:hAnsi="Arial" w:cs="Arial"/>
        </w:rPr>
        <w:t xml:space="preserve"> pozostałe parametry </w:t>
      </w:r>
      <w:r>
        <w:rPr>
          <w:rFonts w:ascii="Arial" w:hAnsi="Arial" w:cs="Arial"/>
        </w:rPr>
        <w:t>według opisu</w:t>
      </w:r>
      <w:r w:rsidRPr="00D00519">
        <w:rPr>
          <w:rFonts w:ascii="Arial" w:hAnsi="Arial" w:cs="Arial"/>
        </w:rPr>
        <w:t>.</w:t>
      </w:r>
    </w:p>
    <w:p w:rsidR="004C6B4B" w:rsidRPr="00873C75" w:rsidRDefault="004C6B4B" w:rsidP="004C6B4B">
      <w:pPr>
        <w:spacing w:after="0" w:line="240" w:lineRule="auto"/>
        <w:rPr>
          <w:rFonts w:ascii="Verdana" w:hAnsi="Verdana" w:cs="Tahoma"/>
          <w:b/>
          <w:sz w:val="20"/>
          <w:szCs w:val="20"/>
          <w:u w:val="single"/>
        </w:rPr>
      </w:pPr>
      <w:r w:rsidRPr="00873C75">
        <w:rPr>
          <w:rFonts w:ascii="Verdana" w:hAnsi="Verdana" w:cs="Tahoma"/>
          <w:b/>
          <w:sz w:val="20"/>
          <w:szCs w:val="20"/>
          <w:u w:val="single"/>
        </w:rPr>
        <w:t>Odpowiedź: Tak, Zamawiający dopuszcza proponowane parametry w zakresie objętym pytaniem.</w:t>
      </w:r>
    </w:p>
    <w:p w:rsidR="00432E02" w:rsidRDefault="00432E02" w:rsidP="007673CD">
      <w:pPr>
        <w:spacing w:after="0" w:line="240" w:lineRule="auto"/>
        <w:jc w:val="both"/>
        <w:rPr>
          <w:rFonts w:cs="Tahoma"/>
          <w:b/>
          <w:sz w:val="20"/>
          <w:szCs w:val="20"/>
        </w:rPr>
      </w:pPr>
    </w:p>
    <w:p w:rsidR="00432E02" w:rsidRPr="00432E02" w:rsidRDefault="00873C75" w:rsidP="00432E02">
      <w:pPr>
        <w:spacing w:after="0" w:line="240" w:lineRule="auto"/>
        <w:jc w:val="both"/>
        <w:rPr>
          <w:rFonts w:ascii="Verdana" w:hAnsi="Verdana" w:cs="Tahoma"/>
          <w:b/>
          <w:sz w:val="20"/>
          <w:szCs w:val="20"/>
          <w:u w:val="single"/>
        </w:rPr>
      </w:pPr>
      <w:r>
        <w:rPr>
          <w:rFonts w:ascii="Verdana" w:hAnsi="Verdana" w:cs="Tahoma"/>
          <w:b/>
          <w:sz w:val="20"/>
          <w:szCs w:val="20"/>
        </w:rPr>
        <w:t>PYTANIA</w:t>
      </w:r>
      <w:r w:rsidR="00432E02" w:rsidRPr="00432E02">
        <w:rPr>
          <w:rFonts w:ascii="Verdana" w:hAnsi="Verdana" w:cs="Tahoma"/>
          <w:b/>
          <w:sz w:val="20"/>
          <w:szCs w:val="20"/>
        </w:rPr>
        <w:t xml:space="preserve"> 6:</w:t>
      </w:r>
    </w:p>
    <w:p w:rsidR="00432E02" w:rsidRDefault="00432E02" w:rsidP="007673CD">
      <w:pPr>
        <w:spacing w:after="0" w:line="240" w:lineRule="auto"/>
        <w:jc w:val="both"/>
      </w:pPr>
      <w:r>
        <w:t xml:space="preserve">Pakiet nr 14 poz.23 Czy Zamawiający dopuści wentylowany zestaw do infuzji dożylnych z funkcjami </w:t>
      </w:r>
      <w:proofErr w:type="spellStart"/>
      <w:r>
        <w:t>AirStop</w:t>
      </w:r>
      <w:proofErr w:type="spellEnd"/>
      <w:r>
        <w:t xml:space="preserve"> (hydrofilowa membrana filtrująca zapewniająca bezpieczeństwo w przypadku opróżnienia pojemnika na płyn. Utrzymuje całkowite wypełnienie przewodu płynem. Działa również jako filtr </w:t>
      </w:r>
      <w:r>
        <w:lastRenderedPageBreak/>
        <w:t xml:space="preserve">cząstek stałych o wydajności filtracji 15 µm.) i </w:t>
      </w:r>
      <w:proofErr w:type="spellStart"/>
      <w:r>
        <w:t>PrimeStop</w:t>
      </w:r>
      <w:proofErr w:type="spellEnd"/>
      <w:r>
        <w:t xml:space="preserve"> (nasadka ochronna wyłożona antybakteryjną membraną hydrofobową umieszczoną na złączce </w:t>
      </w:r>
      <w:proofErr w:type="spellStart"/>
      <w:r>
        <w:t>Luer</w:t>
      </w:r>
      <w:proofErr w:type="spellEnd"/>
      <w:r>
        <w:t xml:space="preserve"> Lock, zatrzymuje wyciek płynu i chroni przed zanieczyszczeniem. </w:t>
      </w:r>
      <w:proofErr w:type="spellStart"/>
      <w:r>
        <w:t>PrimeStop</w:t>
      </w:r>
      <w:proofErr w:type="spellEnd"/>
      <w:r>
        <w:t xml:space="preserve"> automatyzuje proces napełniania oraz zabezpieczania przed swobodnym wypływaniem cieczy). Do infuzji grawitacyjnych z przezroczystym dostępem bezigłowym typu </w:t>
      </w:r>
      <w:proofErr w:type="spellStart"/>
      <w:r>
        <w:t>Split-septum</w:t>
      </w:r>
      <w:proofErr w:type="spellEnd"/>
      <w:r>
        <w:t xml:space="preserve"> na drenie(przepływ 208 ml/min, odporność na ciśnienie 400 psi)?</w:t>
      </w:r>
    </w:p>
    <w:p w:rsidR="004C6B4B" w:rsidRPr="00873C75" w:rsidRDefault="004C6B4B" w:rsidP="004C6B4B">
      <w:pPr>
        <w:spacing w:after="0" w:line="240" w:lineRule="auto"/>
        <w:rPr>
          <w:rFonts w:ascii="Verdana" w:hAnsi="Verdana" w:cs="Tahoma"/>
          <w:b/>
          <w:sz w:val="20"/>
          <w:szCs w:val="20"/>
          <w:u w:val="single"/>
        </w:rPr>
      </w:pPr>
      <w:r w:rsidRPr="00873C75">
        <w:rPr>
          <w:rFonts w:ascii="Verdana" w:hAnsi="Verdana" w:cs="Tahoma"/>
          <w:b/>
          <w:sz w:val="20"/>
          <w:szCs w:val="20"/>
          <w:u w:val="single"/>
        </w:rPr>
        <w:t>Odpowiedź: Tak, Zamawiający dopuszcza proponowane parametry w zakresie objętym pytaniem.</w:t>
      </w:r>
    </w:p>
    <w:p w:rsidR="00432E02" w:rsidRDefault="00432E02" w:rsidP="007673CD">
      <w:pPr>
        <w:spacing w:after="0" w:line="240" w:lineRule="auto"/>
        <w:jc w:val="both"/>
      </w:pPr>
    </w:p>
    <w:p w:rsidR="00432E02" w:rsidRPr="00432E02" w:rsidRDefault="00432E02" w:rsidP="00432E02">
      <w:pPr>
        <w:spacing w:after="0" w:line="240" w:lineRule="auto"/>
        <w:jc w:val="both"/>
        <w:rPr>
          <w:rFonts w:ascii="Verdana" w:hAnsi="Verdana" w:cs="Tahoma"/>
          <w:b/>
          <w:sz w:val="20"/>
          <w:szCs w:val="20"/>
          <w:u w:val="single"/>
        </w:rPr>
      </w:pPr>
      <w:r w:rsidRPr="00432E02">
        <w:rPr>
          <w:rFonts w:ascii="Verdana" w:hAnsi="Verdana" w:cs="Tahoma"/>
          <w:b/>
          <w:sz w:val="20"/>
          <w:szCs w:val="20"/>
        </w:rPr>
        <w:t>PYTANI</w:t>
      </w:r>
      <w:r w:rsidR="00873C75">
        <w:rPr>
          <w:rFonts w:ascii="Verdana" w:hAnsi="Verdana" w:cs="Tahoma"/>
          <w:b/>
          <w:sz w:val="20"/>
          <w:szCs w:val="20"/>
        </w:rPr>
        <w:t>A</w:t>
      </w:r>
      <w:r w:rsidRPr="00432E02">
        <w:rPr>
          <w:rFonts w:ascii="Verdana" w:hAnsi="Verdana" w:cs="Tahoma"/>
          <w:b/>
          <w:sz w:val="20"/>
          <w:szCs w:val="20"/>
        </w:rPr>
        <w:t xml:space="preserve"> 7:</w:t>
      </w:r>
    </w:p>
    <w:p w:rsidR="00432E02" w:rsidRPr="00583E66" w:rsidRDefault="00432E02" w:rsidP="0065428F">
      <w:pPr>
        <w:spacing w:after="0"/>
        <w:jc w:val="both"/>
      </w:pPr>
      <w:r w:rsidRPr="00583E66">
        <w:t xml:space="preserve">1. W celu zapewnienia równego traktowania stron umowy i umożliwienia Wykonawcy sprawdzenia zasadności reklamacji wnosimy o wprowadzenie w § </w:t>
      </w:r>
      <w:r>
        <w:t>2</w:t>
      </w:r>
      <w:r w:rsidRPr="00583E66">
        <w:t xml:space="preserve"> ust. </w:t>
      </w:r>
      <w:r>
        <w:t>9</w:t>
      </w:r>
      <w:r w:rsidRPr="00583E66">
        <w:t xml:space="preserve"> projektu umowy 5 dniowego terminu na rozpatrzenie reklamacji </w:t>
      </w:r>
      <w:r w:rsidRPr="00583E66">
        <w:rPr>
          <w:bCs/>
        </w:rPr>
        <w:t>oraz zamianę słów „…od daty otrzymania zgłoszenia o wadzie</w:t>
      </w:r>
      <w:r>
        <w:rPr>
          <w:bCs/>
        </w:rPr>
        <w:t xml:space="preserve"> jakościowej</w:t>
      </w:r>
      <w:r w:rsidRPr="00583E66">
        <w:rPr>
          <w:bCs/>
        </w:rPr>
        <w:t>” na „…od daty uznania reklamacji”.</w:t>
      </w:r>
    </w:p>
    <w:p w:rsidR="00432E02" w:rsidRPr="00583E66" w:rsidRDefault="00432E02" w:rsidP="0065428F">
      <w:pPr>
        <w:spacing w:after="0"/>
        <w:jc w:val="both"/>
        <w:rPr>
          <w:color w:val="000000"/>
        </w:rPr>
      </w:pPr>
      <w:r w:rsidRPr="00583E66">
        <w:t xml:space="preserve">2. Czy w celu miarkowania kar umownych Zamawiający dokona modyfikacji postanowień projektu przyszłej umowy w zakresie zapisów </w:t>
      </w:r>
      <w:r w:rsidRPr="00583E66">
        <w:rPr>
          <w:color w:val="000000"/>
        </w:rPr>
        <w:t xml:space="preserve">§ </w:t>
      </w:r>
      <w:r>
        <w:rPr>
          <w:color w:val="000000"/>
        </w:rPr>
        <w:t>4</w:t>
      </w:r>
      <w:r w:rsidRPr="00583E66">
        <w:rPr>
          <w:color w:val="000000"/>
        </w:rPr>
        <w:t xml:space="preserve"> ust. 1 pkt. 1), 2):</w:t>
      </w:r>
    </w:p>
    <w:p w:rsidR="00432E02" w:rsidRPr="00D823A6" w:rsidRDefault="00432E02" w:rsidP="0065428F">
      <w:pPr>
        <w:spacing w:after="0"/>
        <w:jc w:val="both"/>
        <w:rPr>
          <w:color w:val="000000"/>
          <w:sz w:val="20"/>
        </w:rPr>
      </w:pPr>
      <w:r w:rsidRPr="00D823A6">
        <w:rPr>
          <w:color w:val="000000"/>
          <w:sz w:val="20"/>
        </w:rPr>
        <w:t xml:space="preserve">  1. Wykonawca jest zobowiązany do zapłaty kar umownych:</w:t>
      </w:r>
    </w:p>
    <w:p w:rsidR="00432E02" w:rsidRPr="00D823A6" w:rsidRDefault="00432E02" w:rsidP="00432E02">
      <w:pPr>
        <w:pStyle w:val="Akapitzlist"/>
        <w:numPr>
          <w:ilvl w:val="0"/>
          <w:numId w:val="31"/>
        </w:numPr>
        <w:spacing w:line="276" w:lineRule="auto"/>
        <w:contextualSpacing w:val="0"/>
        <w:rPr>
          <w:color w:val="000000"/>
          <w:sz w:val="20"/>
        </w:rPr>
      </w:pPr>
      <w:r w:rsidRPr="00D823A6">
        <w:rPr>
          <w:color w:val="000000"/>
          <w:sz w:val="20"/>
        </w:rPr>
        <w:t xml:space="preserve">za zwłokę w realizacji dostawy w wysokości </w:t>
      </w:r>
      <w:r w:rsidRPr="00D823A6">
        <w:rPr>
          <w:b/>
          <w:color w:val="000000"/>
          <w:sz w:val="20"/>
          <w:u w:val="single"/>
        </w:rPr>
        <w:t>0,5 %</w:t>
      </w:r>
      <w:r w:rsidRPr="00D823A6">
        <w:rPr>
          <w:color w:val="000000"/>
          <w:sz w:val="20"/>
        </w:rPr>
        <w:t xml:space="preserve"> wartości brutto </w:t>
      </w:r>
      <w:r w:rsidRPr="00D823A6">
        <w:rPr>
          <w:b/>
          <w:color w:val="000000"/>
          <w:sz w:val="20"/>
          <w:u w:val="single"/>
        </w:rPr>
        <w:t>opóźnionej części</w:t>
      </w:r>
      <w:r w:rsidRPr="00D823A6">
        <w:rPr>
          <w:color w:val="000000"/>
          <w:sz w:val="20"/>
        </w:rPr>
        <w:t xml:space="preserve"> danej dostawy, zgodnie z zał. nr 1 - za każdy dzień,</w:t>
      </w:r>
      <w:r w:rsidR="00F24FF9">
        <w:rPr>
          <w:color w:val="000000"/>
          <w:sz w:val="20"/>
        </w:rPr>
        <w:t xml:space="preserve"> </w:t>
      </w:r>
      <w:r w:rsidRPr="00D823A6">
        <w:rPr>
          <w:b/>
          <w:sz w:val="20"/>
          <w:u w:val="single"/>
        </w:rPr>
        <w:t>jednak nie więcej niż 10% wartości brutto opóźnionej części danej dostawy</w:t>
      </w:r>
      <w:r w:rsidRPr="00D823A6">
        <w:rPr>
          <w:sz w:val="20"/>
        </w:rPr>
        <w:t>;</w:t>
      </w:r>
    </w:p>
    <w:p w:rsidR="00432E02" w:rsidRPr="00D823A6" w:rsidRDefault="00432E02" w:rsidP="00432E02">
      <w:pPr>
        <w:pStyle w:val="Akapitzlist"/>
        <w:numPr>
          <w:ilvl w:val="0"/>
          <w:numId w:val="31"/>
        </w:numPr>
        <w:spacing w:line="276" w:lineRule="auto"/>
        <w:contextualSpacing w:val="0"/>
        <w:rPr>
          <w:color w:val="000000"/>
          <w:sz w:val="20"/>
        </w:rPr>
      </w:pPr>
      <w:r w:rsidRPr="00D823A6">
        <w:rPr>
          <w:color w:val="000000"/>
          <w:sz w:val="20"/>
        </w:rPr>
        <w:t xml:space="preserve">za zwłokę w wymianie reklamowanego przedmiotu umowy na nowy w wysokości  </w:t>
      </w:r>
      <w:r w:rsidRPr="00D823A6">
        <w:rPr>
          <w:b/>
          <w:color w:val="000000"/>
          <w:sz w:val="20"/>
          <w:u w:val="single"/>
        </w:rPr>
        <w:t>0,5%</w:t>
      </w:r>
      <w:r w:rsidRPr="00D823A6">
        <w:rPr>
          <w:color w:val="000000"/>
          <w:sz w:val="20"/>
        </w:rPr>
        <w:t xml:space="preserve"> wartości brutto danego asortymentu, zgodnie z zał. nr 1 - za każdy dzień</w:t>
      </w:r>
      <w:r w:rsidRPr="00D823A6">
        <w:rPr>
          <w:sz w:val="20"/>
        </w:rPr>
        <w:t xml:space="preserve">, </w:t>
      </w:r>
      <w:r w:rsidRPr="00D823A6">
        <w:rPr>
          <w:b/>
          <w:sz w:val="20"/>
          <w:u w:val="single"/>
        </w:rPr>
        <w:t>jednak nie więcej niż 10% wartości brutto reklamowanego przedmiotu umowy</w:t>
      </w:r>
      <w:r w:rsidRPr="00D823A6">
        <w:rPr>
          <w:sz w:val="20"/>
        </w:rPr>
        <w:t>.</w:t>
      </w:r>
    </w:p>
    <w:p w:rsidR="00432E02" w:rsidRPr="00D823A6" w:rsidRDefault="00432E02" w:rsidP="0065428F">
      <w:pPr>
        <w:spacing w:after="0"/>
        <w:jc w:val="both"/>
        <w:rPr>
          <w:color w:val="000000"/>
        </w:rPr>
      </w:pPr>
      <w:r>
        <w:rPr>
          <w:color w:val="000000"/>
        </w:rPr>
        <w:t xml:space="preserve">3. </w:t>
      </w:r>
      <w:r w:rsidRPr="00D823A6">
        <w:rPr>
          <w:color w:val="000000"/>
        </w:rPr>
        <w:t>Czy Zamawiający uzupełni projekt umowy o zapis, że na podstawie art. 106n ust. 1 ustawy z dnia 11 marca 2004 r. o podatku od towarów i usług udziela Wykonawcy zgody na wystawianie i przesyłanie faktur, duplikatów faktur oraz ich korekt, a także not obciążeniowych i not korygujących w formacie pliku elektronicznego PDF na wskazany przez siebie adres poczty e-mail, ze wskazanych w umowie adresów poczty e-mail Wykonawcy?</w:t>
      </w:r>
    </w:p>
    <w:p w:rsidR="004C6B4B" w:rsidRPr="00873C75" w:rsidRDefault="004C6B4B" w:rsidP="004C6B4B">
      <w:pPr>
        <w:spacing w:after="0" w:line="240" w:lineRule="auto"/>
        <w:rPr>
          <w:rFonts w:ascii="Verdana" w:hAnsi="Verdana" w:cs="Tahoma"/>
          <w:b/>
          <w:sz w:val="20"/>
          <w:szCs w:val="20"/>
          <w:u w:val="single"/>
        </w:rPr>
      </w:pPr>
      <w:r w:rsidRPr="00873C75">
        <w:rPr>
          <w:rFonts w:ascii="Verdana" w:hAnsi="Verdana" w:cs="Tahoma"/>
          <w:b/>
          <w:sz w:val="20"/>
          <w:szCs w:val="20"/>
          <w:u w:val="single"/>
        </w:rPr>
        <w:t>Odpowiedź: Zamawiający pozostawia zapisy SWZ bez zmian.</w:t>
      </w:r>
    </w:p>
    <w:p w:rsidR="00432E02" w:rsidRDefault="00432E02" w:rsidP="007673CD">
      <w:pPr>
        <w:spacing w:after="0" w:line="240" w:lineRule="auto"/>
        <w:jc w:val="both"/>
        <w:rPr>
          <w:rFonts w:cs="Tahoma"/>
          <w:b/>
          <w:sz w:val="20"/>
          <w:szCs w:val="20"/>
        </w:rPr>
      </w:pPr>
    </w:p>
    <w:p w:rsidR="00432E02" w:rsidRPr="00432E02" w:rsidRDefault="00432E02" w:rsidP="00432E02">
      <w:pPr>
        <w:spacing w:after="0" w:line="240" w:lineRule="auto"/>
        <w:jc w:val="both"/>
        <w:rPr>
          <w:rFonts w:ascii="Verdana" w:hAnsi="Verdana" w:cs="Tahoma"/>
          <w:b/>
          <w:sz w:val="20"/>
          <w:szCs w:val="20"/>
          <w:u w:val="single"/>
        </w:rPr>
      </w:pPr>
      <w:r w:rsidRPr="00432E02">
        <w:rPr>
          <w:rFonts w:ascii="Verdana" w:hAnsi="Verdana" w:cs="Tahoma"/>
          <w:b/>
          <w:sz w:val="20"/>
          <w:szCs w:val="20"/>
        </w:rPr>
        <w:t>PYTANI</w:t>
      </w:r>
      <w:r w:rsidR="00873C75">
        <w:rPr>
          <w:rFonts w:ascii="Verdana" w:hAnsi="Verdana" w:cs="Tahoma"/>
          <w:b/>
          <w:sz w:val="20"/>
          <w:szCs w:val="20"/>
        </w:rPr>
        <w:t>A</w:t>
      </w:r>
      <w:r w:rsidRPr="00432E02">
        <w:rPr>
          <w:rFonts w:ascii="Verdana" w:hAnsi="Verdana" w:cs="Tahoma"/>
          <w:b/>
          <w:sz w:val="20"/>
          <w:szCs w:val="20"/>
        </w:rPr>
        <w:t xml:space="preserve"> 8:</w:t>
      </w:r>
    </w:p>
    <w:p w:rsidR="00432E02" w:rsidRDefault="00432E02" w:rsidP="00F24FF9">
      <w:pPr>
        <w:spacing w:after="0"/>
        <w:jc w:val="both"/>
        <w:rPr>
          <w:rFonts w:cs="Calibri"/>
        </w:rPr>
      </w:pPr>
      <w:r w:rsidRPr="00B73AE4">
        <w:rPr>
          <w:rFonts w:cs="Calibri"/>
          <w:u w:val="single"/>
        </w:rPr>
        <w:t xml:space="preserve">Poniższy wniosek dotyczy opisu przedmiotu zamówienia w </w:t>
      </w:r>
      <w:r>
        <w:rPr>
          <w:rFonts w:cs="Calibri"/>
          <w:u w:val="single"/>
        </w:rPr>
        <w:t xml:space="preserve">pakiecie 1, poz. 1 </w:t>
      </w:r>
      <w:r w:rsidRPr="00B73AE4">
        <w:rPr>
          <w:rFonts w:cs="Calibri"/>
          <w:u w:val="single"/>
        </w:rPr>
        <w:t>w przedmiotowym postępowaniu</w:t>
      </w:r>
      <w:r w:rsidRPr="00B73AE4">
        <w:rPr>
          <w:rFonts w:cs="Calibri"/>
        </w:rPr>
        <w:t>:</w:t>
      </w:r>
    </w:p>
    <w:p w:rsidR="00432E02" w:rsidRDefault="00432E02" w:rsidP="00954422">
      <w:pPr>
        <w:numPr>
          <w:ilvl w:val="0"/>
          <w:numId w:val="32"/>
        </w:numPr>
        <w:spacing w:after="0"/>
        <w:ind w:left="426" w:hanging="426"/>
        <w:jc w:val="both"/>
        <w:rPr>
          <w:rFonts w:cs="Calibri"/>
        </w:rPr>
      </w:pPr>
      <w:r w:rsidRPr="008105E7">
        <w:rPr>
          <w:rFonts w:cs="Calibri"/>
        </w:rPr>
        <w:t>Uprzejmie prosimy o wydzielenie pozycji</w:t>
      </w:r>
      <w:r>
        <w:rPr>
          <w:rFonts w:cs="Calibri"/>
        </w:rPr>
        <w:t xml:space="preserve"> 1</w:t>
      </w:r>
      <w:r w:rsidRPr="008105E7">
        <w:rPr>
          <w:rFonts w:cs="Calibri"/>
        </w:rPr>
        <w:t xml:space="preserve"> z pakietu </w:t>
      </w:r>
      <w:r>
        <w:rPr>
          <w:rFonts w:cs="Calibri"/>
        </w:rPr>
        <w:t>1</w:t>
      </w:r>
      <w:r w:rsidRPr="008105E7">
        <w:rPr>
          <w:rFonts w:cs="Calibri"/>
        </w:rPr>
        <w:t xml:space="preserve"> oraz utworzenie odrębnego zadania. Wydzielenie wymienion</w:t>
      </w:r>
      <w:r>
        <w:rPr>
          <w:rFonts w:cs="Calibri"/>
        </w:rPr>
        <w:t>ej</w:t>
      </w:r>
      <w:r w:rsidRPr="008105E7">
        <w:rPr>
          <w:rFonts w:cs="Calibri"/>
        </w:rPr>
        <w:t xml:space="preserve"> pozycji zwiększy konkurencyjność asortymentowo-cenową w przedmiotowym postępowaniu, co przełoży się na uzyskanie przez Zamawiającego bardziej korzystnych cen ofert. Pozostawienie wyżej wymienion</w:t>
      </w:r>
      <w:r>
        <w:rPr>
          <w:rFonts w:cs="Calibri"/>
        </w:rPr>
        <w:t xml:space="preserve">ej </w:t>
      </w:r>
      <w:r w:rsidRPr="008105E7">
        <w:rPr>
          <w:rFonts w:cs="Calibri"/>
        </w:rPr>
        <w:t xml:space="preserve">pozycji w dotychczasowym pakiecie silnie ogranicza konkurencję wyłącznie do podmiotów posiadających pełen asortyment zawarty w pakiecie. </w:t>
      </w:r>
    </w:p>
    <w:p w:rsidR="004C6B4B" w:rsidRPr="00873C75" w:rsidRDefault="004C6B4B" w:rsidP="00F24FF9">
      <w:pPr>
        <w:spacing w:after="0"/>
        <w:rPr>
          <w:rFonts w:ascii="Verdana" w:hAnsi="Verdana" w:cs="Tahoma"/>
          <w:b/>
          <w:sz w:val="20"/>
          <w:szCs w:val="20"/>
          <w:u w:val="single"/>
        </w:rPr>
      </w:pPr>
      <w:r w:rsidRPr="00873C75">
        <w:rPr>
          <w:rFonts w:ascii="Verdana" w:hAnsi="Verdana" w:cs="Tahoma"/>
          <w:b/>
          <w:sz w:val="20"/>
          <w:szCs w:val="20"/>
          <w:u w:val="single"/>
        </w:rPr>
        <w:t>Odpowiedź: Zamawiający pozostawia zapisy SWZ bez zmian.</w:t>
      </w:r>
    </w:p>
    <w:p w:rsidR="00432E02" w:rsidRDefault="00432E02" w:rsidP="00F24FF9">
      <w:pPr>
        <w:spacing w:after="0" w:line="240" w:lineRule="auto"/>
        <w:jc w:val="both"/>
        <w:rPr>
          <w:rFonts w:cs="Tahoma"/>
          <w:b/>
          <w:sz w:val="20"/>
          <w:szCs w:val="20"/>
        </w:rPr>
      </w:pPr>
    </w:p>
    <w:p w:rsidR="00954422" w:rsidRDefault="00954422" w:rsidP="00F24FF9">
      <w:pPr>
        <w:spacing w:after="0" w:line="240" w:lineRule="auto"/>
        <w:jc w:val="both"/>
        <w:rPr>
          <w:rFonts w:ascii="Verdana" w:hAnsi="Verdana" w:cs="Tahoma"/>
          <w:b/>
          <w:sz w:val="20"/>
          <w:szCs w:val="20"/>
        </w:rPr>
      </w:pPr>
    </w:p>
    <w:p w:rsidR="00954422" w:rsidRDefault="00954422" w:rsidP="00F24FF9">
      <w:pPr>
        <w:spacing w:after="0" w:line="240" w:lineRule="auto"/>
        <w:jc w:val="both"/>
        <w:rPr>
          <w:rFonts w:ascii="Verdana" w:hAnsi="Verdana" w:cs="Tahoma"/>
          <w:b/>
          <w:sz w:val="20"/>
          <w:szCs w:val="20"/>
        </w:rPr>
      </w:pPr>
    </w:p>
    <w:p w:rsidR="00432E02" w:rsidRPr="00432E02" w:rsidRDefault="00432E02" w:rsidP="00F24FF9">
      <w:pPr>
        <w:spacing w:after="0" w:line="240" w:lineRule="auto"/>
        <w:jc w:val="both"/>
        <w:rPr>
          <w:rFonts w:ascii="Verdana" w:hAnsi="Verdana" w:cs="Tahoma"/>
          <w:b/>
          <w:sz w:val="20"/>
          <w:szCs w:val="20"/>
          <w:u w:val="single"/>
        </w:rPr>
      </w:pPr>
      <w:r w:rsidRPr="00432E02">
        <w:rPr>
          <w:rFonts w:ascii="Verdana" w:hAnsi="Verdana" w:cs="Tahoma"/>
          <w:b/>
          <w:sz w:val="20"/>
          <w:szCs w:val="20"/>
        </w:rPr>
        <w:lastRenderedPageBreak/>
        <w:t>PYTANI</w:t>
      </w:r>
      <w:r w:rsidR="00873C75">
        <w:rPr>
          <w:rFonts w:ascii="Verdana" w:hAnsi="Verdana" w:cs="Tahoma"/>
          <w:b/>
          <w:sz w:val="20"/>
          <w:szCs w:val="20"/>
        </w:rPr>
        <w:t>A</w:t>
      </w:r>
      <w:r w:rsidRPr="00432E02">
        <w:rPr>
          <w:rFonts w:ascii="Verdana" w:hAnsi="Verdana" w:cs="Tahoma"/>
          <w:b/>
          <w:sz w:val="20"/>
          <w:szCs w:val="20"/>
        </w:rPr>
        <w:t xml:space="preserve"> 9:</w:t>
      </w:r>
    </w:p>
    <w:p w:rsidR="00432E02" w:rsidRDefault="00432E02" w:rsidP="00F24FF9">
      <w:pPr>
        <w:spacing w:after="0" w:line="240" w:lineRule="auto"/>
        <w:jc w:val="both"/>
      </w:pPr>
      <w:r>
        <w:t xml:space="preserve">Pakiet nr 10 Czy Zamawiający dopuści: PEG wykonany z miękkiego, elastycznego silikonu o długości ok 80 cm, odporny na działanie środków dezynfekcyjnych (w tym zawierający jod), dobrze tolerowany przez organizm,, nie alergizujący, zakończenie od strony żołądka zapewniające dobre uszczelnienie gastrostomii, pewne jej mocowanie zapobiegające przypadkowemu wysunięciu gastrostomii, a jednocześnie umożliwiające celowe usunięcie gastrostomii metodą trakcji, bez wykonania endoskopii, dwudrożny port implementowany do </w:t>
      </w:r>
      <w:proofErr w:type="spellStart"/>
      <w:r>
        <w:t>dystalnego</w:t>
      </w:r>
      <w:proofErr w:type="spellEnd"/>
      <w:r>
        <w:t xml:space="preserve"> końca cewnika, średnica gastrostomii: 14F, 20F i 24F do wyboru przez Zamawiającego. Sprzęt bezpośrednio dostosowany do połączenia typu </w:t>
      </w:r>
      <w:proofErr w:type="spellStart"/>
      <w:r>
        <w:t>ENFit</w:t>
      </w:r>
      <w:proofErr w:type="spellEnd"/>
      <w:r>
        <w:t xml:space="preserve"> jako wymagane zabezpieczenie przed przypadkowym podłączeniem żywienia dojelitowego do systemu dożylnego typu </w:t>
      </w:r>
      <w:proofErr w:type="spellStart"/>
      <w:r>
        <w:t>Luer</w:t>
      </w:r>
      <w:proofErr w:type="spellEnd"/>
      <w:r>
        <w:t>, sterylny, pakowany pojedynczo. W skład zestawu wchodzi tacka z akcesoriami: prowadnik do przeciągania cewnika ok 175 cm, pętla do przeciągania zestawu, igła typu trokar, , skalpel, nasadki do karmienia, serweta do obłożenia pola zabiegowego, gaziki bez otworu?</w:t>
      </w:r>
    </w:p>
    <w:p w:rsidR="004C6B4B" w:rsidRPr="00873C75" w:rsidRDefault="004C6B4B" w:rsidP="00F24FF9">
      <w:pPr>
        <w:spacing w:after="0" w:line="240" w:lineRule="auto"/>
        <w:rPr>
          <w:rFonts w:ascii="Verdana" w:hAnsi="Verdana" w:cs="Tahoma"/>
          <w:b/>
          <w:sz w:val="20"/>
          <w:szCs w:val="20"/>
          <w:u w:val="single"/>
        </w:rPr>
      </w:pPr>
      <w:r w:rsidRPr="00873C75">
        <w:rPr>
          <w:rFonts w:ascii="Verdana" w:hAnsi="Verdana" w:cs="Tahoma"/>
          <w:b/>
          <w:sz w:val="20"/>
          <w:szCs w:val="20"/>
          <w:u w:val="single"/>
        </w:rPr>
        <w:t>Odpowiedź: Tak, Zamawiający dopuszcza proponowane parametry w zakresie objętym pytaniem.</w:t>
      </w:r>
    </w:p>
    <w:p w:rsidR="00432E02" w:rsidRDefault="00432E02" w:rsidP="007673CD">
      <w:pPr>
        <w:spacing w:after="0" w:line="240" w:lineRule="auto"/>
        <w:jc w:val="both"/>
      </w:pPr>
    </w:p>
    <w:p w:rsidR="00873C75" w:rsidRPr="00432E02" w:rsidRDefault="00873C75" w:rsidP="00873C75">
      <w:pPr>
        <w:spacing w:after="0" w:line="240" w:lineRule="auto"/>
        <w:jc w:val="both"/>
        <w:rPr>
          <w:rFonts w:ascii="Verdana" w:hAnsi="Verdana" w:cs="Tahoma"/>
          <w:b/>
          <w:sz w:val="20"/>
          <w:szCs w:val="20"/>
          <w:u w:val="single"/>
        </w:rPr>
      </w:pPr>
      <w:r w:rsidRPr="00432E02">
        <w:rPr>
          <w:rFonts w:ascii="Verdana" w:hAnsi="Verdana" w:cs="Tahoma"/>
          <w:b/>
          <w:sz w:val="20"/>
          <w:szCs w:val="20"/>
        </w:rPr>
        <w:t>PYTANI</w:t>
      </w:r>
      <w:r>
        <w:rPr>
          <w:rFonts w:ascii="Verdana" w:hAnsi="Verdana" w:cs="Tahoma"/>
          <w:b/>
          <w:sz w:val="20"/>
          <w:szCs w:val="20"/>
        </w:rPr>
        <w:t>A</w:t>
      </w:r>
      <w:r w:rsidRPr="00432E02">
        <w:rPr>
          <w:rFonts w:ascii="Verdana" w:hAnsi="Verdana" w:cs="Tahoma"/>
          <w:b/>
          <w:sz w:val="20"/>
          <w:szCs w:val="20"/>
        </w:rPr>
        <w:t xml:space="preserve"> </w:t>
      </w:r>
      <w:r>
        <w:rPr>
          <w:rFonts w:ascii="Verdana" w:hAnsi="Verdana" w:cs="Tahoma"/>
          <w:b/>
          <w:sz w:val="20"/>
          <w:szCs w:val="20"/>
        </w:rPr>
        <w:t>10</w:t>
      </w:r>
      <w:r w:rsidRPr="00432E02">
        <w:rPr>
          <w:rFonts w:ascii="Verdana" w:hAnsi="Verdana" w:cs="Tahoma"/>
          <w:b/>
          <w:sz w:val="20"/>
          <w:szCs w:val="20"/>
        </w:rPr>
        <w:t>:</w:t>
      </w:r>
    </w:p>
    <w:p w:rsidR="00873C75" w:rsidRDefault="004C6B4B" w:rsidP="007673CD">
      <w:pPr>
        <w:spacing w:after="0" w:line="240" w:lineRule="auto"/>
        <w:jc w:val="both"/>
      </w:pPr>
      <w:r>
        <w:t xml:space="preserve">1. Dotyczy: Załącznik nr 2 do SWZ – Formularz cenowy, pakiet nr 15 Czy Zamawiający wymaga, aby wężyki były zatwierdzone przez producenta </w:t>
      </w:r>
      <w:proofErr w:type="spellStart"/>
      <w:r>
        <w:t>wstrzykiwacza</w:t>
      </w:r>
      <w:proofErr w:type="spellEnd"/>
      <w:r>
        <w:t xml:space="preserve"> automatycznego będącego własnością Zamawiającego? Zgodnie z instrukcją obsługi urządzenia: „Stosowanie kombinacji lub systemów wężyków, które nie są dopuszczone przez firmę </w:t>
      </w:r>
      <w:proofErr w:type="spellStart"/>
      <w:r>
        <w:t>ulrich</w:t>
      </w:r>
      <w:proofErr w:type="spellEnd"/>
      <w:r>
        <w:t xml:space="preserve"> </w:t>
      </w:r>
      <w:proofErr w:type="spellStart"/>
      <w:r>
        <w:t>medical</w:t>
      </w:r>
      <w:proofErr w:type="spellEnd"/>
      <w:r>
        <w:t xml:space="preserve">, zagraża bezpieczeństwu pacjenta i/lub użytkownika oraz nienagannemu działaniu </w:t>
      </w:r>
      <w:proofErr w:type="spellStart"/>
      <w:r>
        <w:t>wstrzykiwacza</w:t>
      </w:r>
      <w:proofErr w:type="spellEnd"/>
      <w:r>
        <w:t xml:space="preserve">. (…) Imitacje i inne fabrykaty nie są zaprojektowane dla </w:t>
      </w:r>
      <w:proofErr w:type="spellStart"/>
      <w:r>
        <w:t>wstrzykiwacza</w:t>
      </w:r>
      <w:proofErr w:type="spellEnd"/>
      <w:r>
        <w:t xml:space="preserve"> ani nie są sprawdzone do stosowania ze </w:t>
      </w:r>
      <w:proofErr w:type="spellStart"/>
      <w:r>
        <w:t>wstrzykiwaczem</w:t>
      </w:r>
      <w:proofErr w:type="spellEnd"/>
      <w:r>
        <w:t xml:space="preserve">” (Instrukcja obsługi wersja: R13.2/2018-09 Rozdział 4 Informacje dotyczące bezpieczeństwa). </w:t>
      </w:r>
    </w:p>
    <w:p w:rsidR="004C6B4B" w:rsidRDefault="004C6B4B" w:rsidP="007673CD">
      <w:pPr>
        <w:spacing w:after="0" w:line="240" w:lineRule="auto"/>
        <w:jc w:val="both"/>
      </w:pPr>
      <w:r>
        <w:t xml:space="preserve">2. Dotyczy: Załącznik nr 2 do SWZ – Formularz cenowy, pakiet nr 15 Mając na uwadze dobro pacjentów oraz szpitala, zwracamy się z pytaniem: czy Zamawiający wymaga, aby materiały eksploatacyjne nie zawierały związków DEHP (ftalany </w:t>
      </w:r>
      <w:proofErr w:type="spellStart"/>
      <w:r>
        <w:t>dietyloheksylu</w:t>
      </w:r>
      <w:proofErr w:type="spellEnd"/>
      <w:r>
        <w:t>), a ich brak był potwierdzony w oryginalnej instrukcji obsługi lub oznaczeniem na opakowaniu wężyka? Pragniemy zaznaczyć, że wymóg Zamawiającego, aby wyroby medyczne do podawania kontrastu były bez zawartości ftalanów (DEHP) jest istotny i uzasadniony dobrem pacjentów. Związki DEHP są dodatkiem stosowanym do polichlorku winylu (PCV) – termoplastycznego tworzywa sztucznego, stosowanego od wielu lat w wielu wyrobach różnego przeznaczenia. W związku z przeprowadzoną w ostatnich latach serią badań m.in. tych związków, ustalono, że mogą one przedostawać się do organizmu ludzkiego. Ftalany (DEHP) uznawane są za związki rakotwórcze i mutagenne, których stosowanie może być szkodliwe dla zdrowia badanych pacjentów</w:t>
      </w:r>
    </w:p>
    <w:p w:rsidR="00873C75" w:rsidRDefault="004C6B4B" w:rsidP="007673CD">
      <w:pPr>
        <w:spacing w:after="0" w:line="240" w:lineRule="auto"/>
        <w:jc w:val="both"/>
      </w:pPr>
      <w:r>
        <w:t xml:space="preserve">3. Dotyczy: Załącznik nr 2 do SWZ – Formularz cenowy, pakiet nr 15, pozycja 1 Prosimy o potwierdzenie, że Zamawiający wymaga, aby dren pompy mógł pozostać zainstalowany w strzykawce przez 24 godziny niezależnie od ilości przebytych iniekcji i aby było to potwierdzone przez producenta w oryginalnej instrukcji obsługi wężyków. </w:t>
      </w:r>
    </w:p>
    <w:p w:rsidR="00873C75" w:rsidRDefault="004C6B4B" w:rsidP="007673CD">
      <w:pPr>
        <w:spacing w:after="0" w:line="240" w:lineRule="auto"/>
        <w:jc w:val="both"/>
      </w:pPr>
      <w:r>
        <w:t xml:space="preserve">4. Dotyczy: Załącznik nr 2 do SWZ – Formularz cenowy, pakiet nr 15, pozycja 2 Prosimy o potwierdzenie, że Zamawiający wymaga, aby pojemność sterylnego wężyka pacjenta o długości 250 cm wynosiła dokładnie 12,5ml i była potwierdzona przez producenta wyrobu medycznego w oryginalnej instrukcji obsługi wężyka. Mniejsza średnica niż zalecana przez producenta </w:t>
      </w:r>
      <w:proofErr w:type="spellStart"/>
      <w:r>
        <w:t>wstrzykiwacza</w:t>
      </w:r>
      <w:proofErr w:type="spellEnd"/>
      <w:r>
        <w:t xml:space="preserve"> może powodować większe ciśnienie w systemie podczas podawania środków kontrastowych. Skutkuje to niezamierzonym wystąpieniem nadciśnienia w systemie wężyków co oznacza regulację </w:t>
      </w:r>
      <w:r>
        <w:lastRenderedPageBreak/>
        <w:t xml:space="preserve">przepływu przez </w:t>
      </w:r>
      <w:proofErr w:type="spellStart"/>
      <w:r>
        <w:t>wstrzykiwacz</w:t>
      </w:r>
      <w:proofErr w:type="spellEnd"/>
      <w:r>
        <w:t xml:space="preserve">. </w:t>
      </w:r>
      <w:proofErr w:type="spellStart"/>
      <w:r>
        <w:t>Wstrzykiwacz</w:t>
      </w:r>
      <w:proofErr w:type="spellEnd"/>
      <w:r>
        <w:t xml:space="preserve"> zmniejsza prędkość przepływu, aby utrzymać ciśnienie w wartościach granicznych. Może to prowadzić do obniżenia jakości badania, a w szczególności badań </w:t>
      </w:r>
      <w:proofErr w:type="spellStart"/>
      <w:r>
        <w:t>angio</w:t>
      </w:r>
      <w:proofErr w:type="spellEnd"/>
      <w:r>
        <w:t xml:space="preserve">, gdzie występują duże prędkości podawania kontrastu. Inna pojemność wężyka niż 12,5ml może prowadzić do niepełnego napełnienia wężyka i pozostawienia w nim nieznanej objętości powietrza. W efekcie może prowadzić to do niezamierzonej iniekcji powietrza do pacjenta podczas badania. </w:t>
      </w:r>
    </w:p>
    <w:p w:rsidR="00873C75" w:rsidRPr="00873C75" w:rsidRDefault="00873C75" w:rsidP="00873C75">
      <w:pPr>
        <w:spacing w:after="0" w:line="240" w:lineRule="auto"/>
        <w:rPr>
          <w:rFonts w:ascii="Verdana" w:hAnsi="Verdana" w:cs="Tahoma"/>
          <w:b/>
          <w:sz w:val="20"/>
          <w:szCs w:val="20"/>
          <w:u w:val="single"/>
        </w:rPr>
      </w:pPr>
      <w:r w:rsidRPr="00873C75">
        <w:rPr>
          <w:rFonts w:ascii="Verdana" w:hAnsi="Verdana" w:cs="Tahoma"/>
          <w:b/>
          <w:sz w:val="20"/>
          <w:szCs w:val="20"/>
          <w:u w:val="single"/>
        </w:rPr>
        <w:t>Odpowiedź ad 1-4: Zamawiający pozostawia zapisy SWZ bez zmian.</w:t>
      </w:r>
    </w:p>
    <w:p w:rsidR="00873C75" w:rsidRDefault="00873C75" w:rsidP="007673CD">
      <w:pPr>
        <w:spacing w:after="0" w:line="240" w:lineRule="auto"/>
        <w:jc w:val="both"/>
      </w:pPr>
    </w:p>
    <w:p w:rsidR="00873C75" w:rsidRDefault="004C6B4B" w:rsidP="007673CD">
      <w:pPr>
        <w:spacing w:after="0" w:line="240" w:lineRule="auto"/>
        <w:jc w:val="both"/>
      </w:pPr>
      <w:r>
        <w:t xml:space="preserve">5. Dotyczy: Załącznik nr 4 do SWZ – Wzór umowy, § 1 ust. 6 „Etykiety oraz ulotki informacyjne dołączone do wyrobów winny być sporządzone w języku polskim lub w tłumaczeniu na język polski” Prosimy Zamawiającego o dopuszczenie w pakiecie 15 wyrobów medycznych oznakowanych za pomocą symboli oraz prostych zwrotów w języku angielskim. Zgodnie z art. 14 </w:t>
      </w:r>
      <w:proofErr w:type="spellStart"/>
      <w:r>
        <w:t>pkt</w:t>
      </w:r>
      <w:proofErr w:type="spellEnd"/>
      <w:r>
        <w:t xml:space="preserve"> 2 Ustawy z dnia 20 maja 2010r. o wyrobach medycznych, dopuszcza się dla wyrobów przeznaczonych do używania na terytorium Rzeczypospolitej Polskiej dostarczanych profesjonalnym użytkownikom (nie pacjentom) oznakowania w języku angielskim. Instrukcja obsługi dołączona do wyrobów jest sporządzona w języku polskim. </w:t>
      </w:r>
    </w:p>
    <w:p w:rsidR="00873C75" w:rsidRDefault="004C6B4B" w:rsidP="007673CD">
      <w:pPr>
        <w:spacing w:after="0" w:line="240" w:lineRule="auto"/>
        <w:jc w:val="both"/>
      </w:pPr>
      <w:r>
        <w:t xml:space="preserve">6. Dotyczy: Załącznik nr 4 do SWZ – Wzór umowy, § 2 ust. 2 „Dostawy będą się odbywać sukcesywnie zgodnie ze złożonym zamówieniem w nieprzekraczalnym terminie 2 dni roboczych od momentu złożenia przez Zamawiającego zamówienia telefonicznie, pisemnie lub e-mailem” Prosimy Zamawiającego o wydłużenie terminu realizacji zamówień do 3 dni roboczych. </w:t>
      </w:r>
    </w:p>
    <w:p w:rsidR="00873C75" w:rsidRDefault="004C6B4B" w:rsidP="007673CD">
      <w:pPr>
        <w:spacing w:after="0" w:line="240" w:lineRule="auto"/>
        <w:jc w:val="both"/>
      </w:pPr>
      <w:r>
        <w:t xml:space="preserve">7. Dotyczy: Załącznik nr 4 do SWZ – Wzór umowy, § 2 ust. 2 „Dostawy będą się odbywać sukcesywnie zgodnie ze złożonym zamówieniem w nieprzekraczalnym terminie 2 dni roboczych od momentu złożenia przez Zamawiającego zamówienia telefonicznie, pisemnie lub e-mailem” Zwracamy się z prośbą do Zamawiającego o odstąpienie od możliwości składania zamówień telefonicznie. W rozmowie telefonicznej trudno jest zweryfikować osobę dzwoniącą co do jej upoważnienia do składania zamówień w imieniu placówki. Pisemne złożenie zamówienia jest również dokumentem łatwiejszym do zweryfikowania w przypadku spraw spornych lub reklamacji. </w:t>
      </w:r>
    </w:p>
    <w:p w:rsidR="004C6B4B" w:rsidRDefault="004C6B4B" w:rsidP="007673CD">
      <w:pPr>
        <w:spacing w:after="0" w:line="240" w:lineRule="auto"/>
        <w:jc w:val="both"/>
      </w:pPr>
      <w:r>
        <w:t>8. Dotyczy: Załącznik nr 4 do SWZ – Wzór umowy, § 3 ust. 6 „Zamawiający dopuszcza podwyższenie ceny brutto w przypadku urzędowej podwyżki stawki VAT- o tę wartość, przy zachowaniu niezmienności ceny netto. W takim przypadku podwyżka będzie mogła obowiązywać od początku miesiąca następnego, po tym, w którym Wykonawca wystąpił z propozycją podwyższenia ceny. Zmiany w tym zakresie wymagają formy pisemnej w postaci aneksu” W przypadku urzędowej zmiany VAT, Wykonawca zobowiązany jest do przestrzegania nowych przepisów od dnia wejścia ich w życie. W związku z tym niezasadne jest, aby data wystąpienia Wykonawcy z propozycją podwyższenia ceny miała wpływ na możliwość fakturowania za dostawy z prawidłową stawką VAT. Prosimy o zmianę zapisów na: „W takim przypadku podwyżka będzie obowiązywać od dnia obowiązywania nowych przepisów”</w:t>
      </w:r>
    </w:p>
    <w:p w:rsidR="00873C75" w:rsidRDefault="004C6B4B" w:rsidP="007673CD">
      <w:pPr>
        <w:spacing w:after="0" w:line="240" w:lineRule="auto"/>
        <w:jc w:val="both"/>
      </w:pPr>
      <w:r>
        <w:t xml:space="preserve">9. Dotyczy: Załącznik nr 4 do SWZ – Wzór umowy, § 4 ust. 1 punkt 1) i 2) „Wykonawca jest zobowiązany do zapłaty kar umownych: 1) za zwłokę w realizacji dostawy w wysokości 2% wartości brutto danej dostawy, zgodnie z zał. nr 1 - za każdy dzień, 2) za zwłokę w wymianie reklamowanego przedmiotu umowy na nowy w wysokości 2% wartości brutto danego asortymentu, zgodnie z zał. nr 1 - za każdy dzień” W naszej opinii zaproponowana kara umowna 2% jest wysoka. Przyjęło się, że na rynku wyrobów medycznych wynosi ona około 0,2 – 1% za każdy dzień zwłoki. Zadaniem kar umownych winno być skuteczne zmotywowanie i skłonienie kontrahenta do prawidłowego </w:t>
      </w:r>
      <w:r>
        <w:lastRenderedPageBreak/>
        <w:t xml:space="preserve">wykonania umowy, a nie do zniechęcenia do udziału w zamówieniach publicznych. W związku z powyższym zwracamy się z wnioskiem o obniżenie kary umownej do poziomu 1%. </w:t>
      </w:r>
    </w:p>
    <w:p w:rsidR="00873C75" w:rsidRDefault="004C6B4B" w:rsidP="007673CD">
      <w:pPr>
        <w:spacing w:after="0" w:line="240" w:lineRule="auto"/>
        <w:jc w:val="both"/>
      </w:pPr>
      <w:r>
        <w:t xml:space="preserve">10. Dotyczy: Załącznik nr 4 do SWZ – Wzór umowy, § 4 ust. 3 „Maksymalna wysokość kar umownych wynosi 30 % wartości umowy” Zwracamy się z prośbą o zmniejszenie maksymalnej wysokości kar umownych do 20% wartości umowy. </w:t>
      </w:r>
    </w:p>
    <w:p w:rsidR="00873C75" w:rsidRDefault="004C6B4B" w:rsidP="007673CD">
      <w:pPr>
        <w:spacing w:after="0" w:line="240" w:lineRule="auto"/>
        <w:jc w:val="both"/>
      </w:pPr>
      <w:r>
        <w:t xml:space="preserve">11. Dotyczy: Załącznik nr 4 do SWZ – Wzór umowy, § 4 ust. 5 </w:t>
      </w:r>
      <w:proofErr w:type="spellStart"/>
      <w:r>
        <w:t>pkt</w:t>
      </w:r>
      <w:proofErr w:type="spellEnd"/>
      <w:r>
        <w:t xml:space="preserve"> 1) „Zamawiającemu przysługuje prawo rozwiązania umowy bez zachowania terminu wypowiedzenia, gdy: 1) Wykonawca jest w zwłoce z dostawą lub reklamacją więcej niż 72 godziny” Zważywszy na doniosłe i nieodwracalne skutki prawne odstąpienia od umowy, celowe jest aby przed odstąpieniem od umowy przez Zamawiającego wykonawca został wezwany do należytego wykonywania umowy. Takie wezwanie najprawdopodobniej zmobilizuje wykonawcę do należytego wykonywania umowy i pozwoli uniknąć odstąpienia od umowy, a tym samym uniknąć skutków odstąpienia od umowy, które są niekorzystne dla obu stron. W związku z powyższym prosimy o zmianę zapisu na: „Zamawiającemu przysługuje prawo rozwiązania umowy bez zachowania terminu wypowiedzenia, gdy: 1) Wykonawca jest w zwłoce z dostawą lub reklamacją więcej niż 72 godziny i nie zareaguje na wezwanie Zamawiającego do należytego wykonania umowy”.</w:t>
      </w:r>
    </w:p>
    <w:p w:rsidR="00432E02" w:rsidRDefault="004C6B4B" w:rsidP="007673CD">
      <w:pPr>
        <w:spacing w:after="0" w:line="240" w:lineRule="auto"/>
        <w:jc w:val="both"/>
      </w:pPr>
      <w:r>
        <w:t xml:space="preserve"> 12. Dotyczy: Załącznik nr 1 do SWZ – Formularz ofertowy, „Osoba wyznaczona do kontaktu w sprawie realizacji zamówienia” Zwracamy się do Zamawiającego z prośbą o możliwość wskazania działu, a nie osoby wyznaczonej do kontaktu w sprawie realizacji zamówienia. Ze względu na częściową pracę zdalną, za realizację zamówień odpowiedzialnych jest kilka osób. Jeśli Zamawiający nie wyrazi zgody na powyższe, prosimy o wyrażenie zgody na podanie kierownika działu i dopisanie zwrotu: „lub osoba przez niego upoważniona”.</w:t>
      </w:r>
    </w:p>
    <w:p w:rsidR="00873C75" w:rsidRPr="00873C75" w:rsidRDefault="00873C75" w:rsidP="00873C75">
      <w:pPr>
        <w:spacing w:after="0" w:line="240" w:lineRule="auto"/>
        <w:rPr>
          <w:rFonts w:ascii="Verdana" w:hAnsi="Verdana" w:cs="Tahoma"/>
          <w:b/>
          <w:sz w:val="20"/>
          <w:szCs w:val="20"/>
          <w:u w:val="single"/>
        </w:rPr>
      </w:pPr>
      <w:r w:rsidRPr="00873C75">
        <w:rPr>
          <w:rFonts w:ascii="Verdana" w:hAnsi="Verdana" w:cs="Tahoma"/>
          <w:b/>
          <w:sz w:val="20"/>
          <w:szCs w:val="20"/>
          <w:u w:val="single"/>
        </w:rPr>
        <w:t>Odpowiedź ad 5-12: Zamawiający pozostawia zapisy SWZ bez zmian.</w:t>
      </w:r>
    </w:p>
    <w:p w:rsidR="00432E02" w:rsidRDefault="00432E02" w:rsidP="007673CD">
      <w:pPr>
        <w:spacing w:after="0" w:line="240" w:lineRule="auto"/>
        <w:jc w:val="both"/>
        <w:rPr>
          <w:rFonts w:cs="Tahoma"/>
          <w:b/>
          <w:sz w:val="20"/>
          <w:szCs w:val="20"/>
        </w:rPr>
      </w:pPr>
    </w:p>
    <w:p w:rsidR="00F428D9" w:rsidRDefault="00F428D9" w:rsidP="00F428D9">
      <w:pPr>
        <w:spacing w:after="0" w:line="240" w:lineRule="auto"/>
        <w:jc w:val="both"/>
        <w:rPr>
          <w:rFonts w:ascii="Verdana" w:hAnsi="Verdana" w:cs="Tahoma"/>
          <w:b/>
          <w:sz w:val="20"/>
          <w:szCs w:val="20"/>
        </w:rPr>
      </w:pPr>
      <w:r w:rsidRPr="00432E02">
        <w:rPr>
          <w:rFonts w:ascii="Verdana" w:hAnsi="Verdana" w:cs="Tahoma"/>
          <w:b/>
          <w:sz w:val="20"/>
          <w:szCs w:val="20"/>
        </w:rPr>
        <w:t>PYTANI</w:t>
      </w:r>
      <w:r>
        <w:rPr>
          <w:rFonts w:ascii="Verdana" w:hAnsi="Verdana" w:cs="Tahoma"/>
          <w:b/>
          <w:sz w:val="20"/>
          <w:szCs w:val="20"/>
        </w:rPr>
        <w:t>A</w:t>
      </w:r>
      <w:r w:rsidRPr="00432E02">
        <w:rPr>
          <w:rFonts w:ascii="Verdana" w:hAnsi="Verdana" w:cs="Tahoma"/>
          <w:b/>
          <w:sz w:val="20"/>
          <w:szCs w:val="20"/>
        </w:rPr>
        <w:t xml:space="preserve"> </w:t>
      </w:r>
      <w:r>
        <w:rPr>
          <w:rFonts w:ascii="Verdana" w:hAnsi="Verdana" w:cs="Tahoma"/>
          <w:b/>
          <w:sz w:val="20"/>
          <w:szCs w:val="20"/>
        </w:rPr>
        <w:t>11</w:t>
      </w:r>
      <w:r w:rsidRPr="00432E02">
        <w:rPr>
          <w:rFonts w:ascii="Verdana" w:hAnsi="Verdana" w:cs="Tahoma"/>
          <w:b/>
          <w:sz w:val="20"/>
          <w:szCs w:val="20"/>
        </w:rPr>
        <w:t>:</w:t>
      </w:r>
    </w:p>
    <w:p w:rsidR="00352940" w:rsidRDefault="00352940" w:rsidP="00352940">
      <w:pPr>
        <w:pStyle w:val="Bezodstpw"/>
        <w:rPr>
          <w:b/>
        </w:rPr>
      </w:pPr>
      <w:r>
        <w:rPr>
          <w:b/>
        </w:rPr>
        <w:t>Pakiet 1, poz. 2c</w:t>
      </w:r>
    </w:p>
    <w:p w:rsidR="00352940" w:rsidRDefault="00352940" w:rsidP="00352940">
      <w:pPr>
        <w:pStyle w:val="Bezodstpw"/>
        <w:rPr>
          <w:bCs/>
        </w:rPr>
      </w:pPr>
      <w:r>
        <w:rPr>
          <w:bCs/>
        </w:rPr>
        <w:t>Czy Zamawiający dopuści igłę 1,2 x 30 18G?</w:t>
      </w:r>
    </w:p>
    <w:p w:rsidR="00352940" w:rsidRPr="00873C75" w:rsidRDefault="00352940" w:rsidP="00352940">
      <w:pPr>
        <w:spacing w:after="0" w:line="240" w:lineRule="auto"/>
        <w:rPr>
          <w:rFonts w:ascii="Verdana" w:hAnsi="Verdana" w:cs="Tahoma"/>
          <w:b/>
          <w:sz w:val="20"/>
          <w:szCs w:val="20"/>
          <w:u w:val="single"/>
        </w:rPr>
      </w:pPr>
      <w:r w:rsidRPr="00873C75">
        <w:rPr>
          <w:rFonts w:ascii="Verdana" w:hAnsi="Verdana" w:cs="Tahoma"/>
          <w:b/>
          <w:sz w:val="20"/>
          <w:szCs w:val="20"/>
          <w:u w:val="single"/>
        </w:rPr>
        <w:t>Odpowiedź: Zamawiający pozostawia zapisy SWZ bez zmian.</w:t>
      </w:r>
    </w:p>
    <w:p w:rsidR="00F428D9" w:rsidRDefault="00F428D9" w:rsidP="00F428D9">
      <w:pPr>
        <w:spacing w:after="0" w:line="240" w:lineRule="auto"/>
        <w:jc w:val="both"/>
        <w:rPr>
          <w:rFonts w:ascii="Verdana" w:hAnsi="Verdana" w:cs="Tahoma"/>
          <w:b/>
          <w:sz w:val="20"/>
          <w:szCs w:val="20"/>
        </w:rPr>
      </w:pPr>
    </w:p>
    <w:p w:rsidR="00352940" w:rsidRDefault="00352940" w:rsidP="00352940">
      <w:pPr>
        <w:spacing w:after="0" w:line="240" w:lineRule="auto"/>
        <w:jc w:val="both"/>
        <w:rPr>
          <w:rFonts w:ascii="Verdana" w:hAnsi="Verdana" w:cs="Tahoma"/>
          <w:b/>
          <w:sz w:val="20"/>
          <w:szCs w:val="20"/>
        </w:rPr>
      </w:pPr>
      <w:r w:rsidRPr="00432E02">
        <w:rPr>
          <w:rFonts w:ascii="Verdana" w:hAnsi="Verdana" w:cs="Tahoma"/>
          <w:b/>
          <w:sz w:val="20"/>
          <w:szCs w:val="20"/>
        </w:rPr>
        <w:t>PYTANI</w:t>
      </w:r>
      <w:r>
        <w:rPr>
          <w:rFonts w:ascii="Verdana" w:hAnsi="Verdana" w:cs="Tahoma"/>
          <w:b/>
          <w:sz w:val="20"/>
          <w:szCs w:val="20"/>
        </w:rPr>
        <w:t>A</w:t>
      </w:r>
      <w:r w:rsidRPr="00432E02">
        <w:rPr>
          <w:rFonts w:ascii="Verdana" w:hAnsi="Verdana" w:cs="Tahoma"/>
          <w:b/>
          <w:sz w:val="20"/>
          <w:szCs w:val="20"/>
        </w:rPr>
        <w:t xml:space="preserve"> </w:t>
      </w:r>
      <w:r>
        <w:rPr>
          <w:rFonts w:ascii="Verdana" w:hAnsi="Verdana" w:cs="Tahoma"/>
          <w:b/>
          <w:sz w:val="20"/>
          <w:szCs w:val="20"/>
        </w:rPr>
        <w:t>12</w:t>
      </w:r>
      <w:r w:rsidRPr="00432E02">
        <w:rPr>
          <w:rFonts w:ascii="Verdana" w:hAnsi="Verdana" w:cs="Tahoma"/>
          <w:b/>
          <w:sz w:val="20"/>
          <w:szCs w:val="20"/>
        </w:rPr>
        <w:t>:</w:t>
      </w:r>
    </w:p>
    <w:p w:rsidR="00352940" w:rsidRPr="00F24FF9" w:rsidRDefault="00352940" w:rsidP="00F24FF9">
      <w:pPr>
        <w:spacing w:after="0" w:line="240" w:lineRule="auto"/>
        <w:jc w:val="both"/>
        <w:rPr>
          <w:rFonts w:asciiTheme="minorHAnsi" w:eastAsiaTheme="minorHAnsi" w:hAnsiTheme="minorHAnsi" w:cstheme="minorHAnsi"/>
          <w:bCs/>
          <w:i/>
          <w:iCs/>
        </w:rPr>
      </w:pPr>
      <w:r w:rsidRPr="00F24FF9">
        <w:rPr>
          <w:rFonts w:asciiTheme="minorHAnsi" w:eastAsiaTheme="minorHAnsi" w:hAnsiTheme="minorHAnsi" w:cstheme="minorHAnsi"/>
          <w:bCs/>
          <w:i/>
          <w:iCs/>
        </w:rPr>
        <w:t>Pakiet nr 9</w:t>
      </w:r>
    </w:p>
    <w:p w:rsidR="00352940" w:rsidRPr="006A3D1B" w:rsidRDefault="00352940" w:rsidP="00F24FF9">
      <w:pPr>
        <w:spacing w:after="0" w:line="240" w:lineRule="auto"/>
        <w:jc w:val="both"/>
      </w:pPr>
      <w:r w:rsidRPr="00645AD9">
        <w:t>Czy</w:t>
      </w:r>
      <w:r w:rsidR="00F24FF9">
        <w:t xml:space="preserve"> </w:t>
      </w:r>
      <w:r w:rsidRPr="00645AD9">
        <w:t>Zamawiający</w:t>
      </w:r>
      <w:r>
        <w:t xml:space="preserve"> w pakiecie nr 9</w:t>
      </w:r>
      <w:r w:rsidR="00F24FF9">
        <w:t xml:space="preserve"> </w:t>
      </w:r>
      <w:r w:rsidRPr="00645AD9">
        <w:t>dopuści</w:t>
      </w:r>
      <w:r>
        <w:t xml:space="preserve"> złożenie oferty w pozycji na</w:t>
      </w:r>
      <w:r w:rsidRPr="00645AD9">
        <w:t xml:space="preserve"> przenośny system infuzyjny o następującej charakterystyce</w:t>
      </w:r>
      <w:r>
        <w:t>:</w:t>
      </w:r>
    </w:p>
    <w:p w:rsidR="00352940" w:rsidRPr="006A3D1B" w:rsidRDefault="00352940" w:rsidP="00F24FF9">
      <w:pPr>
        <w:pStyle w:val="Akapitzlist"/>
        <w:numPr>
          <w:ilvl w:val="0"/>
          <w:numId w:val="33"/>
        </w:numPr>
        <w:rPr>
          <w:rFonts w:asciiTheme="minorHAnsi" w:eastAsiaTheme="minorHAnsi" w:hAnsiTheme="minorHAnsi" w:cstheme="minorHAnsi"/>
        </w:rPr>
      </w:pPr>
      <w:r>
        <w:rPr>
          <w:rFonts w:asciiTheme="minorHAnsi" w:eastAsiaTheme="minorHAnsi" w:hAnsiTheme="minorHAnsi" w:cstheme="minorHAnsi"/>
        </w:rPr>
        <w:t>n</w:t>
      </w:r>
      <w:r w:rsidRPr="006A3D1B">
        <w:rPr>
          <w:rFonts w:asciiTheme="minorHAnsi" w:eastAsiaTheme="minorHAnsi" w:hAnsiTheme="minorHAnsi" w:cstheme="minorHAnsi"/>
        </w:rPr>
        <w:t>ominalny czas infuzji: 10ml/</w:t>
      </w:r>
      <w:proofErr w:type="spellStart"/>
      <w:r w:rsidRPr="006A3D1B">
        <w:rPr>
          <w:rFonts w:asciiTheme="minorHAnsi" w:eastAsiaTheme="minorHAnsi" w:hAnsiTheme="minorHAnsi" w:cstheme="minorHAnsi"/>
        </w:rPr>
        <w:t>godz</w:t>
      </w:r>
      <w:proofErr w:type="spellEnd"/>
      <w:r>
        <w:rPr>
          <w:rFonts w:asciiTheme="minorHAnsi" w:eastAsiaTheme="minorHAnsi" w:hAnsiTheme="minorHAnsi" w:cstheme="minorHAnsi"/>
        </w:rPr>
        <w:t>,</w:t>
      </w:r>
    </w:p>
    <w:p w:rsidR="00352940" w:rsidRDefault="00352940" w:rsidP="00F24FF9">
      <w:pPr>
        <w:pStyle w:val="Akapitzlist"/>
        <w:numPr>
          <w:ilvl w:val="0"/>
          <w:numId w:val="33"/>
        </w:numPr>
        <w:rPr>
          <w:rFonts w:asciiTheme="minorHAnsi" w:eastAsiaTheme="minorHAnsi" w:hAnsiTheme="minorHAnsi" w:cstheme="minorHAnsi"/>
        </w:rPr>
      </w:pPr>
      <w:r>
        <w:rPr>
          <w:rFonts w:asciiTheme="minorHAnsi" w:eastAsiaTheme="minorHAnsi" w:hAnsiTheme="minorHAnsi" w:cstheme="minorHAnsi"/>
        </w:rPr>
        <w:t>n</w:t>
      </w:r>
      <w:r w:rsidRPr="00016041">
        <w:rPr>
          <w:rFonts w:asciiTheme="minorHAnsi" w:eastAsiaTheme="minorHAnsi" w:hAnsiTheme="minorHAnsi" w:cstheme="minorHAnsi"/>
        </w:rPr>
        <w:t xml:space="preserve">ominalna objętość: </w:t>
      </w:r>
      <w:r>
        <w:rPr>
          <w:rFonts w:asciiTheme="minorHAnsi" w:eastAsiaTheme="minorHAnsi" w:hAnsiTheme="minorHAnsi" w:cstheme="minorHAnsi"/>
        </w:rPr>
        <w:t>300</w:t>
      </w:r>
      <w:r w:rsidRPr="00016041">
        <w:rPr>
          <w:rFonts w:asciiTheme="minorHAnsi" w:eastAsiaTheme="minorHAnsi" w:hAnsiTheme="minorHAnsi" w:cstheme="minorHAnsi"/>
        </w:rPr>
        <w:t xml:space="preserve"> ml, </w:t>
      </w:r>
    </w:p>
    <w:p w:rsidR="00352940" w:rsidRDefault="00352940" w:rsidP="00F24FF9">
      <w:pPr>
        <w:pStyle w:val="Akapitzlist"/>
        <w:numPr>
          <w:ilvl w:val="0"/>
          <w:numId w:val="33"/>
        </w:numPr>
        <w:rPr>
          <w:rFonts w:asciiTheme="minorHAnsi" w:eastAsiaTheme="minorHAnsi" w:hAnsiTheme="minorHAnsi" w:cstheme="minorHAnsi"/>
        </w:rPr>
      </w:pPr>
      <w:r w:rsidRPr="00016041">
        <w:rPr>
          <w:rFonts w:asciiTheme="minorHAnsi" w:eastAsiaTheme="minorHAnsi" w:hAnsiTheme="minorHAnsi" w:cstheme="minorHAnsi"/>
        </w:rPr>
        <w:t xml:space="preserve">objętość minimalna: </w:t>
      </w:r>
      <w:r>
        <w:rPr>
          <w:rFonts w:asciiTheme="minorHAnsi" w:eastAsiaTheme="minorHAnsi" w:hAnsiTheme="minorHAnsi" w:cstheme="minorHAnsi"/>
        </w:rPr>
        <w:t xml:space="preserve">180 </w:t>
      </w:r>
      <w:r w:rsidRPr="00016041">
        <w:rPr>
          <w:rFonts w:asciiTheme="minorHAnsi" w:eastAsiaTheme="minorHAnsi" w:hAnsiTheme="minorHAnsi" w:cstheme="minorHAnsi"/>
        </w:rPr>
        <w:t>ml</w:t>
      </w:r>
      <w:r>
        <w:rPr>
          <w:rFonts w:asciiTheme="minorHAnsi" w:eastAsiaTheme="minorHAnsi" w:hAnsiTheme="minorHAnsi" w:cstheme="minorHAnsi"/>
        </w:rPr>
        <w:t>,</w:t>
      </w:r>
    </w:p>
    <w:p w:rsidR="00352940" w:rsidRDefault="00352940" w:rsidP="00F24FF9">
      <w:pPr>
        <w:pStyle w:val="Akapitzlist"/>
        <w:numPr>
          <w:ilvl w:val="0"/>
          <w:numId w:val="33"/>
        </w:numPr>
        <w:rPr>
          <w:rFonts w:asciiTheme="minorHAnsi" w:eastAsiaTheme="minorHAnsi" w:hAnsiTheme="minorHAnsi" w:cstheme="minorHAnsi"/>
        </w:rPr>
      </w:pPr>
      <w:r w:rsidRPr="00016041">
        <w:rPr>
          <w:rFonts w:asciiTheme="minorHAnsi" w:eastAsiaTheme="minorHAnsi" w:hAnsiTheme="minorHAnsi" w:cstheme="minorHAnsi"/>
        </w:rPr>
        <w:t>objętość maksymalna: 3</w:t>
      </w:r>
      <w:r>
        <w:rPr>
          <w:rFonts w:asciiTheme="minorHAnsi" w:eastAsiaTheme="minorHAnsi" w:hAnsiTheme="minorHAnsi" w:cstheme="minorHAnsi"/>
        </w:rPr>
        <w:t>60</w:t>
      </w:r>
      <w:r w:rsidRPr="00016041">
        <w:rPr>
          <w:rFonts w:asciiTheme="minorHAnsi" w:eastAsiaTheme="minorHAnsi" w:hAnsiTheme="minorHAnsi" w:cstheme="minorHAnsi"/>
        </w:rPr>
        <w:t xml:space="preserve"> ml</w:t>
      </w:r>
      <w:r>
        <w:rPr>
          <w:rFonts w:asciiTheme="minorHAnsi" w:eastAsiaTheme="minorHAnsi" w:hAnsiTheme="minorHAnsi" w:cstheme="minorHAnsi"/>
        </w:rPr>
        <w:t xml:space="preserve">, </w:t>
      </w:r>
    </w:p>
    <w:p w:rsidR="00352940" w:rsidRDefault="00352940" w:rsidP="00F24FF9">
      <w:pPr>
        <w:pStyle w:val="Akapitzlist"/>
        <w:numPr>
          <w:ilvl w:val="0"/>
          <w:numId w:val="33"/>
        </w:numPr>
        <w:rPr>
          <w:rFonts w:asciiTheme="minorHAnsi" w:eastAsiaTheme="minorHAnsi" w:hAnsiTheme="minorHAnsi" w:cstheme="minorHAnsi"/>
        </w:rPr>
      </w:pPr>
      <w:r>
        <w:rPr>
          <w:rFonts w:asciiTheme="minorHAnsi" w:eastAsiaTheme="minorHAnsi" w:hAnsiTheme="minorHAnsi" w:cstheme="minorHAnsi"/>
        </w:rPr>
        <w:t>obudowa systemu w  kształcie  butelki, pozostałe parametry bez zmian?</w:t>
      </w:r>
    </w:p>
    <w:p w:rsidR="00F24FF9" w:rsidRPr="00F24FF9" w:rsidRDefault="00F24FF9" w:rsidP="00F24FF9">
      <w:pPr>
        <w:spacing w:after="0"/>
        <w:rPr>
          <w:rFonts w:ascii="Verdana" w:hAnsi="Verdana" w:cs="Tahoma"/>
          <w:b/>
          <w:sz w:val="20"/>
          <w:szCs w:val="20"/>
          <w:u w:val="single"/>
        </w:rPr>
      </w:pPr>
      <w:r w:rsidRPr="00F24FF9">
        <w:rPr>
          <w:rFonts w:ascii="Verdana" w:hAnsi="Verdana" w:cs="Tahoma"/>
          <w:b/>
          <w:sz w:val="20"/>
          <w:szCs w:val="20"/>
          <w:u w:val="single"/>
        </w:rPr>
        <w:t>Odpowiedź: Zamawiający pozostawia zapisy SWZ bez zmian.</w:t>
      </w:r>
    </w:p>
    <w:p w:rsidR="00352940" w:rsidRPr="00F24FF9" w:rsidRDefault="00352940" w:rsidP="00F24FF9">
      <w:pPr>
        <w:spacing w:after="0" w:line="240" w:lineRule="auto"/>
        <w:rPr>
          <w:rFonts w:asciiTheme="minorHAnsi" w:eastAsiaTheme="minorHAnsi" w:hAnsiTheme="minorHAnsi" w:cstheme="minorHAnsi"/>
          <w:i/>
          <w:iCs/>
        </w:rPr>
      </w:pPr>
      <w:r w:rsidRPr="00F24FF9">
        <w:rPr>
          <w:rFonts w:asciiTheme="minorHAnsi" w:eastAsiaTheme="minorHAnsi" w:hAnsiTheme="minorHAnsi" w:cstheme="minorHAnsi"/>
          <w:i/>
          <w:iCs/>
        </w:rPr>
        <w:t>Pakiet nr 11</w:t>
      </w:r>
    </w:p>
    <w:p w:rsidR="00352940" w:rsidRPr="00F24FF9" w:rsidRDefault="00352940" w:rsidP="00F24FF9">
      <w:pPr>
        <w:pStyle w:val="Bezodstpw"/>
        <w:rPr>
          <w:rFonts w:asciiTheme="minorHAnsi" w:hAnsiTheme="minorHAnsi" w:cstheme="minorHAnsi"/>
          <w:lang w:eastAsia="en-US"/>
        </w:rPr>
      </w:pPr>
      <w:r w:rsidRPr="00F24FF9">
        <w:rPr>
          <w:rFonts w:asciiTheme="minorHAnsi" w:hAnsiTheme="minorHAnsi" w:cstheme="minorHAnsi"/>
          <w:lang w:eastAsia="en-US"/>
        </w:rPr>
        <w:t>Pyt. 1</w:t>
      </w:r>
    </w:p>
    <w:p w:rsidR="00352940" w:rsidRPr="00645AD9" w:rsidRDefault="00352940" w:rsidP="00F24FF9">
      <w:pPr>
        <w:pStyle w:val="Bezodstpw"/>
        <w:rPr>
          <w:lang w:eastAsia="en-US"/>
        </w:rPr>
      </w:pPr>
      <w:r w:rsidRPr="00645AD9">
        <w:rPr>
          <w:lang w:eastAsia="en-US"/>
        </w:rPr>
        <w:t xml:space="preserve">Czy Zamawiający dokona modyfikacji i wydzieli z pakietu nr </w:t>
      </w:r>
      <w:r>
        <w:rPr>
          <w:lang w:eastAsia="en-US"/>
        </w:rPr>
        <w:t>11</w:t>
      </w:r>
      <w:r w:rsidRPr="00645AD9">
        <w:rPr>
          <w:lang w:eastAsia="en-US"/>
        </w:rPr>
        <w:t xml:space="preserve">poz. nr </w:t>
      </w:r>
      <w:r>
        <w:rPr>
          <w:lang w:eastAsia="en-US"/>
        </w:rPr>
        <w:t>7 i 8</w:t>
      </w:r>
      <w:r w:rsidRPr="00645AD9">
        <w:rPr>
          <w:lang w:eastAsia="en-US"/>
        </w:rPr>
        <w:t xml:space="preserve"> lub wyrazi zgodę na składanie ofert częściowych?</w:t>
      </w:r>
    </w:p>
    <w:p w:rsidR="00F24FF9" w:rsidRDefault="00F24FF9" w:rsidP="00F24FF9">
      <w:pPr>
        <w:spacing w:after="0" w:line="240" w:lineRule="auto"/>
        <w:rPr>
          <w:rFonts w:ascii="Verdana" w:hAnsi="Verdana" w:cs="Tahoma"/>
          <w:b/>
          <w:sz w:val="20"/>
          <w:szCs w:val="20"/>
          <w:u w:val="single"/>
        </w:rPr>
      </w:pPr>
      <w:r>
        <w:rPr>
          <w:rFonts w:ascii="Verdana" w:hAnsi="Verdana" w:cs="Tahoma"/>
          <w:b/>
          <w:sz w:val="20"/>
          <w:szCs w:val="20"/>
          <w:u w:val="single"/>
        </w:rPr>
        <w:t>Odpowiedź: Zamawiający pozostawia zapisy SWZ bez zmian.</w:t>
      </w:r>
    </w:p>
    <w:p w:rsidR="00352940" w:rsidRPr="00F24FF9" w:rsidRDefault="00352940" w:rsidP="00F24FF9">
      <w:pPr>
        <w:pStyle w:val="Bezodstpw"/>
        <w:rPr>
          <w:rFonts w:eastAsia="Calibri"/>
          <w:iCs/>
        </w:rPr>
      </w:pPr>
      <w:r w:rsidRPr="00F24FF9">
        <w:rPr>
          <w:rFonts w:eastAsia="Calibri"/>
          <w:iCs/>
        </w:rPr>
        <w:lastRenderedPageBreak/>
        <w:t>Pyt.2</w:t>
      </w:r>
    </w:p>
    <w:p w:rsidR="00352940" w:rsidRDefault="00352940" w:rsidP="00F24FF9">
      <w:pPr>
        <w:pStyle w:val="Bezodstpw"/>
      </w:pPr>
      <w:r w:rsidRPr="00645AD9">
        <w:rPr>
          <w:rFonts w:eastAsia="Calibri"/>
        </w:rPr>
        <w:t>Czy</w:t>
      </w:r>
      <w:r w:rsidRPr="00645AD9">
        <w:t xml:space="preserve"> w wyżej wymienionym pakiecie </w:t>
      </w:r>
      <w:r w:rsidRPr="00645AD9">
        <w:rPr>
          <w:rFonts w:eastAsia="Calibri"/>
        </w:rPr>
        <w:t xml:space="preserve">Zamawiający </w:t>
      </w:r>
      <w:r w:rsidRPr="00645AD9">
        <w:t>dopuści</w:t>
      </w:r>
      <w:r>
        <w:t xml:space="preserve"> złożenie oferty w pozycji 7 i 8 </w:t>
      </w:r>
      <w:proofErr w:type="spellStart"/>
      <w:r>
        <w:t>na</w:t>
      </w:r>
      <w:r w:rsidRPr="00CD0DB2">
        <w:t>pompę</w:t>
      </w:r>
      <w:proofErr w:type="spellEnd"/>
      <w:r w:rsidRPr="00CD0DB2">
        <w:t xml:space="preserve"> elastomerową do podaży leków jednorazowego użytku</w:t>
      </w:r>
      <w:r w:rsidRPr="00645AD9">
        <w:t xml:space="preserve"> o następującej charakterystyce:</w:t>
      </w:r>
    </w:p>
    <w:p w:rsidR="00352940" w:rsidRPr="000A1E2B" w:rsidRDefault="00352940" w:rsidP="00F24FF9">
      <w:pPr>
        <w:pStyle w:val="Bezodstpw"/>
        <w:numPr>
          <w:ilvl w:val="0"/>
          <w:numId w:val="34"/>
        </w:numPr>
      </w:pPr>
      <w:r w:rsidRPr="000A1E2B">
        <w:t>objętość nominalna 300 ml;</w:t>
      </w:r>
    </w:p>
    <w:p w:rsidR="00352940" w:rsidRPr="000A1E2B" w:rsidRDefault="00352940" w:rsidP="00F24FF9">
      <w:pPr>
        <w:pStyle w:val="Bezodstpw"/>
        <w:numPr>
          <w:ilvl w:val="0"/>
          <w:numId w:val="34"/>
        </w:numPr>
      </w:pPr>
      <w:r>
        <w:t>prędkość podaży 4 ml/ godz.</w:t>
      </w:r>
    </w:p>
    <w:p w:rsidR="00352940" w:rsidRPr="000A1E2B" w:rsidRDefault="00352940" w:rsidP="00F24FF9">
      <w:pPr>
        <w:pStyle w:val="Bezodstpw"/>
        <w:numPr>
          <w:ilvl w:val="0"/>
          <w:numId w:val="34"/>
        </w:numPr>
      </w:pPr>
      <w:r w:rsidRPr="000A1E2B">
        <w:t xml:space="preserve">duża przezroczystość, umożliwiająca czytelna obserwację leku w pompie, </w:t>
      </w:r>
    </w:p>
    <w:p w:rsidR="00352940" w:rsidRDefault="00352940" w:rsidP="00F24FF9">
      <w:pPr>
        <w:pStyle w:val="Bezodstpw"/>
        <w:numPr>
          <w:ilvl w:val="0"/>
          <w:numId w:val="34"/>
        </w:numPr>
      </w:pPr>
      <w:r>
        <w:t>m</w:t>
      </w:r>
      <w:r w:rsidRPr="000A1E2B">
        <w:t>aksymalna objętość wypełnienia 360 ml</w:t>
      </w:r>
      <w:r>
        <w:t>,</w:t>
      </w:r>
    </w:p>
    <w:p w:rsidR="00352940" w:rsidRDefault="00352940" w:rsidP="00F24FF9">
      <w:pPr>
        <w:pStyle w:val="Bezodstpw"/>
        <w:numPr>
          <w:ilvl w:val="0"/>
          <w:numId w:val="34"/>
        </w:numPr>
      </w:pPr>
      <w:r>
        <w:t>filtr</w:t>
      </w:r>
      <w:r w:rsidRPr="00B73A39">
        <w:t xml:space="preserve"> cząsteczkowy</w:t>
      </w:r>
      <w:r>
        <w:t xml:space="preserve"> 5,0</w:t>
      </w:r>
      <w:r w:rsidRPr="00B73A39">
        <w:t>μm wraz z odpowietrznikiem</w:t>
      </w:r>
      <w:r>
        <w:t>,</w:t>
      </w:r>
    </w:p>
    <w:p w:rsidR="00352940" w:rsidRDefault="00352940" w:rsidP="00F24FF9">
      <w:pPr>
        <w:pStyle w:val="Bezodstpw"/>
        <w:numPr>
          <w:ilvl w:val="0"/>
          <w:numId w:val="34"/>
        </w:numPr>
      </w:pPr>
      <w:r>
        <w:t>wygodny kształt w formie butelki,</w:t>
      </w:r>
    </w:p>
    <w:p w:rsidR="00352940" w:rsidRDefault="00352940" w:rsidP="00F24FF9">
      <w:pPr>
        <w:pStyle w:val="Bezodstpw"/>
        <w:numPr>
          <w:ilvl w:val="0"/>
          <w:numId w:val="34"/>
        </w:numPr>
        <w:jc w:val="both"/>
      </w:pPr>
      <w:r>
        <w:rPr>
          <w:rFonts w:asciiTheme="minorHAnsi" w:eastAsiaTheme="minorHAnsi" w:hAnsiTheme="minorHAnsi" w:cstheme="minorBidi"/>
        </w:rPr>
        <w:t>torebka</w:t>
      </w:r>
      <w:r w:rsidRPr="003E6F54">
        <w:rPr>
          <w:rFonts w:asciiTheme="minorHAnsi" w:eastAsiaTheme="minorHAnsi" w:hAnsiTheme="minorHAnsi" w:cstheme="minorBidi"/>
          <w:lang w:eastAsia="en-US"/>
        </w:rPr>
        <w:t xml:space="preserve"> jednorazowego użytku, wykonan</w:t>
      </w:r>
      <w:r>
        <w:rPr>
          <w:rFonts w:asciiTheme="minorHAnsi" w:eastAsiaTheme="minorHAnsi" w:hAnsiTheme="minorHAnsi" w:cstheme="minorBidi"/>
          <w:lang w:eastAsia="en-US"/>
        </w:rPr>
        <w:t>a</w:t>
      </w:r>
      <w:r w:rsidRPr="003E6F54">
        <w:rPr>
          <w:rFonts w:asciiTheme="minorHAnsi" w:eastAsiaTheme="minorHAnsi" w:hAnsiTheme="minorHAnsi" w:cstheme="minorBidi"/>
          <w:lang w:eastAsia="en-US"/>
        </w:rPr>
        <w:t xml:space="preserve"> z </w:t>
      </w:r>
      <w:proofErr w:type="spellStart"/>
      <w:r w:rsidRPr="003E6F54">
        <w:rPr>
          <w:rFonts w:asciiTheme="minorHAnsi" w:eastAsiaTheme="minorHAnsi" w:hAnsiTheme="minorHAnsi" w:cstheme="minorBidi"/>
          <w:lang w:eastAsia="en-US"/>
        </w:rPr>
        <w:t>flizeliny</w:t>
      </w:r>
      <w:proofErr w:type="spellEnd"/>
      <w:r>
        <w:rPr>
          <w:rFonts w:asciiTheme="minorHAnsi" w:eastAsiaTheme="minorHAnsi" w:hAnsiTheme="minorHAnsi" w:cstheme="minorBidi"/>
          <w:lang w:eastAsia="en-US"/>
        </w:rPr>
        <w:t>, pozostałe parametry bez zmian</w:t>
      </w:r>
      <w:bookmarkStart w:id="0" w:name="_GoBack"/>
      <w:bookmarkEnd w:id="0"/>
      <w:r>
        <w:rPr>
          <w:rFonts w:asciiTheme="minorHAnsi" w:eastAsiaTheme="minorHAnsi" w:hAnsiTheme="minorHAnsi" w:cstheme="minorBidi"/>
          <w:lang w:eastAsia="en-US"/>
        </w:rPr>
        <w:t>?</w:t>
      </w:r>
    </w:p>
    <w:p w:rsidR="00352940" w:rsidRPr="00645AD9" w:rsidRDefault="00352940" w:rsidP="00F24FF9">
      <w:pPr>
        <w:pStyle w:val="Bezodstpw"/>
      </w:pPr>
      <w:r w:rsidRPr="00645AD9">
        <w:t xml:space="preserve">Pompy posiadają dwufunkcyjny filtr na przebiegu linii infuzyjnej zabezpieczający linię antybakteryjnie (filtr o gęstości 5 </w:t>
      </w:r>
      <w:proofErr w:type="spellStart"/>
      <w:r w:rsidRPr="00645AD9">
        <w:t>μm</w:t>
      </w:r>
      <w:proofErr w:type="spellEnd"/>
      <w:r w:rsidRPr="00645AD9">
        <w:t>) oraz funkcję odpowietrzającą (</w:t>
      </w:r>
      <w:proofErr w:type="spellStart"/>
      <w:r w:rsidRPr="00645AD9">
        <w:t>filtro</w:t>
      </w:r>
      <w:proofErr w:type="spellEnd"/>
      <w:r w:rsidRPr="00645AD9">
        <w:t xml:space="preserve"> gęstości 0,03 </w:t>
      </w:r>
      <w:proofErr w:type="spellStart"/>
      <w:r w:rsidRPr="00645AD9">
        <w:t>μm</w:t>
      </w:r>
      <w:proofErr w:type="spellEnd"/>
      <w:r w:rsidRPr="00645AD9">
        <w:t>).Filtr jest jednokierunkowy, tzn. działający tylko w jednym kierunku „z wewnątrz linii na zewnątrz”, który gwarantuje pełne bezpieczeństwo, jako system „zamknięty”.</w:t>
      </w:r>
    </w:p>
    <w:p w:rsidR="00352940" w:rsidRPr="00645AD9" w:rsidRDefault="00352940" w:rsidP="00F24FF9">
      <w:pPr>
        <w:pStyle w:val="Bezodstpw"/>
      </w:pPr>
      <w:r w:rsidRPr="00645AD9">
        <w:t xml:space="preserve">Pompy wyposażone są w połączenie bezigłowe do napełniania lekiem, gwarantujące pełne zabezpieczenie przed szkodliwymi oparami i kontaminacją </w:t>
      </w:r>
      <w:proofErr w:type="spellStart"/>
      <w:r w:rsidRPr="00645AD9">
        <w:t>lekamicytostatycznymi</w:t>
      </w:r>
      <w:proofErr w:type="spellEnd"/>
      <w:r w:rsidRPr="00645AD9">
        <w:t xml:space="preserve"> i ich osadzaniu się na obudowie pompy w trakcie ich napełniania.</w:t>
      </w:r>
    </w:p>
    <w:p w:rsidR="00352940" w:rsidRPr="00645AD9" w:rsidRDefault="00352940" w:rsidP="00F24FF9">
      <w:pPr>
        <w:pStyle w:val="Bezodstpw"/>
      </w:pPr>
      <w:r w:rsidRPr="00645AD9">
        <w:t xml:space="preserve">Połączenie bezigłowe posiada również zakręcany koreczek </w:t>
      </w:r>
      <w:proofErr w:type="spellStart"/>
      <w:r w:rsidRPr="00645AD9">
        <w:t>luer-lock,zachowując</w:t>
      </w:r>
      <w:proofErr w:type="spellEnd"/>
      <w:r w:rsidRPr="00645AD9">
        <w:t xml:space="preserve"> układ zamknięty przez cały czas jego użytkowania, </w:t>
      </w:r>
    </w:p>
    <w:p w:rsidR="00352940" w:rsidRPr="00645AD9" w:rsidRDefault="00352940" w:rsidP="00F24FF9">
      <w:pPr>
        <w:pStyle w:val="Bezodstpw"/>
      </w:pPr>
      <w:r w:rsidRPr="00645AD9">
        <w:t>Zgoda Zamawiającego na pytania umożliwi naszej firmie przystąpienie do przetargu na zasadzie wolnej konkurencji oraz zaoferowanie najwyższej jakości pomp elastomerowych włoskiej firmy SURGIKA, natomiast Zamawiającemu wybór oferty spośród ich większej ilości, co będzie korzystne dla Zamawiającego ze względów ekonomicznych.</w:t>
      </w:r>
    </w:p>
    <w:p w:rsidR="00352940" w:rsidRDefault="00352940" w:rsidP="00F24FF9">
      <w:pPr>
        <w:spacing w:after="0" w:line="240" w:lineRule="auto"/>
        <w:rPr>
          <w:rFonts w:ascii="Verdana" w:hAnsi="Verdana" w:cs="Tahoma"/>
          <w:b/>
          <w:sz w:val="20"/>
          <w:szCs w:val="20"/>
          <w:u w:val="single"/>
        </w:rPr>
      </w:pPr>
      <w:r>
        <w:rPr>
          <w:rFonts w:ascii="Verdana" w:hAnsi="Verdana" w:cs="Tahoma"/>
          <w:b/>
          <w:sz w:val="20"/>
          <w:szCs w:val="20"/>
          <w:u w:val="single"/>
        </w:rPr>
        <w:t>Odpowiedź: Zamawiający pozostawia zapisy SWZ bez zmian.</w:t>
      </w:r>
    </w:p>
    <w:p w:rsidR="00F428D9" w:rsidRDefault="00F428D9" w:rsidP="00F428D9">
      <w:pPr>
        <w:spacing w:after="0" w:line="240" w:lineRule="auto"/>
        <w:jc w:val="both"/>
        <w:rPr>
          <w:rFonts w:ascii="Verdana" w:hAnsi="Verdana" w:cs="Tahoma"/>
          <w:b/>
          <w:sz w:val="20"/>
          <w:szCs w:val="20"/>
        </w:rPr>
      </w:pPr>
    </w:p>
    <w:p w:rsidR="00F428D9" w:rsidRPr="00432E02" w:rsidRDefault="00F428D9" w:rsidP="00F428D9">
      <w:pPr>
        <w:spacing w:after="0" w:line="240" w:lineRule="auto"/>
        <w:jc w:val="both"/>
        <w:rPr>
          <w:rFonts w:ascii="Verdana" w:hAnsi="Verdana" w:cs="Tahoma"/>
          <w:b/>
          <w:sz w:val="20"/>
          <w:szCs w:val="20"/>
          <w:u w:val="single"/>
        </w:rPr>
      </w:pPr>
    </w:p>
    <w:p w:rsidR="007673CD" w:rsidRPr="00873C75" w:rsidRDefault="007673CD" w:rsidP="00873C75">
      <w:pPr>
        <w:spacing w:after="0"/>
        <w:ind w:firstLine="708"/>
        <w:jc w:val="both"/>
        <w:rPr>
          <w:rFonts w:ascii="Verdana" w:eastAsia="Times New Roman" w:hAnsi="Verdana"/>
          <w:sz w:val="20"/>
          <w:szCs w:val="20"/>
        </w:rPr>
      </w:pPr>
      <w:r w:rsidRPr="00873C75">
        <w:rPr>
          <w:rFonts w:ascii="Verdana" w:hAnsi="Verdana"/>
          <w:sz w:val="20"/>
          <w:szCs w:val="20"/>
        </w:rPr>
        <w:t xml:space="preserve">Wielkopolskie Centrum Pulmonologii i Torakochirurgii SP ZOZ działając na podstawie art. 284 ust. </w:t>
      </w:r>
      <w:r w:rsidRPr="00873C75">
        <w:rPr>
          <w:rFonts w:ascii="Verdana" w:hAnsi="Verdana"/>
          <w:sz w:val="20"/>
          <w:szCs w:val="20"/>
          <w:shd w:val="clear" w:color="auto" w:fill="FFFFFF"/>
        </w:rPr>
        <w:t>3</w:t>
      </w:r>
      <w:r w:rsidRPr="00873C75">
        <w:rPr>
          <w:rFonts w:ascii="Verdana" w:hAnsi="Verdana"/>
          <w:sz w:val="20"/>
          <w:szCs w:val="20"/>
        </w:rPr>
        <w:t xml:space="preserve"> ustawy Prawo Zamówień Publicznych z dnia </w:t>
      </w:r>
      <w:r w:rsidRPr="00873C75">
        <w:rPr>
          <w:rFonts w:ascii="Verdana" w:hAnsi="Verdana"/>
          <w:sz w:val="20"/>
          <w:szCs w:val="20"/>
          <w:lang w:eastAsia="pl-PL"/>
        </w:rPr>
        <w:t>11 września 2019r</w:t>
      </w:r>
      <w:r w:rsidRPr="00873C75">
        <w:rPr>
          <w:rFonts w:ascii="Verdana" w:hAnsi="Verdana"/>
          <w:sz w:val="20"/>
          <w:szCs w:val="20"/>
        </w:rPr>
        <w:t>. (</w:t>
      </w:r>
      <w:proofErr w:type="spellStart"/>
      <w:r w:rsidRPr="00873C75">
        <w:rPr>
          <w:rFonts w:ascii="Verdana" w:hAnsi="Verdana"/>
          <w:sz w:val="20"/>
          <w:szCs w:val="20"/>
        </w:rPr>
        <w:t>t.j</w:t>
      </w:r>
      <w:proofErr w:type="spellEnd"/>
      <w:r w:rsidRPr="00873C75">
        <w:rPr>
          <w:rFonts w:ascii="Verdana" w:eastAsia="Times New Roman" w:hAnsi="Verdana"/>
          <w:sz w:val="20"/>
          <w:szCs w:val="20"/>
          <w:lang w:eastAsia="pl-PL"/>
        </w:rPr>
        <w:t xml:space="preserve"> z 2019r. poz. 2019 ze zm.</w:t>
      </w:r>
      <w:r w:rsidRPr="00873C75">
        <w:rPr>
          <w:rFonts w:ascii="Verdana" w:hAnsi="Verdana"/>
          <w:sz w:val="20"/>
          <w:szCs w:val="20"/>
        </w:rPr>
        <w:t xml:space="preserve">) </w:t>
      </w:r>
      <w:r w:rsidRPr="00873C75">
        <w:rPr>
          <w:rFonts w:ascii="Verdana" w:eastAsia="Times New Roman" w:hAnsi="Verdana"/>
          <w:sz w:val="20"/>
          <w:szCs w:val="20"/>
        </w:rPr>
        <w:t xml:space="preserve">przedłuża terminy składania i otwarcia ofert do </w:t>
      </w:r>
      <w:r w:rsidR="00873C75" w:rsidRPr="00873C75">
        <w:rPr>
          <w:rFonts w:ascii="Verdana" w:eastAsia="Times New Roman" w:hAnsi="Verdana"/>
          <w:b/>
          <w:sz w:val="20"/>
          <w:szCs w:val="20"/>
        </w:rPr>
        <w:t>25</w:t>
      </w:r>
      <w:r w:rsidR="00A8214C" w:rsidRPr="00873C75">
        <w:rPr>
          <w:rFonts w:ascii="Verdana" w:eastAsia="Times New Roman" w:hAnsi="Verdana"/>
          <w:b/>
          <w:sz w:val="20"/>
          <w:szCs w:val="20"/>
        </w:rPr>
        <w:t>.06</w:t>
      </w:r>
      <w:r w:rsidRPr="00873C75">
        <w:rPr>
          <w:rFonts w:ascii="Verdana" w:eastAsia="Times New Roman" w:hAnsi="Verdana"/>
          <w:b/>
          <w:sz w:val="20"/>
          <w:szCs w:val="20"/>
        </w:rPr>
        <w:t>.2021</w:t>
      </w:r>
      <w:r w:rsidRPr="00873C75">
        <w:rPr>
          <w:rFonts w:ascii="Verdana" w:eastAsia="Times New Roman" w:hAnsi="Verdana"/>
          <w:sz w:val="20"/>
          <w:szCs w:val="20"/>
        </w:rPr>
        <w:t xml:space="preserve"> roku.</w:t>
      </w:r>
    </w:p>
    <w:p w:rsidR="00382EA3" w:rsidRPr="00873C75" w:rsidRDefault="007673CD" w:rsidP="00873C75">
      <w:pPr>
        <w:spacing w:after="0"/>
        <w:jc w:val="both"/>
        <w:rPr>
          <w:rFonts w:ascii="Verdana" w:hAnsi="Verdana"/>
          <w:b/>
          <w:sz w:val="20"/>
          <w:szCs w:val="20"/>
        </w:rPr>
      </w:pPr>
      <w:r w:rsidRPr="00873C75">
        <w:rPr>
          <w:rFonts w:ascii="Verdana" w:hAnsi="Verdana"/>
          <w:sz w:val="20"/>
          <w:szCs w:val="20"/>
        </w:rPr>
        <w:t>Godziny składania i otwarcia ofert pozostają bez zmian.</w:t>
      </w:r>
      <w:r w:rsidR="00382EA3" w:rsidRPr="00873C75">
        <w:rPr>
          <w:rFonts w:ascii="Verdana" w:eastAsia="Times New Roman" w:hAnsi="Verdana"/>
          <w:sz w:val="20"/>
          <w:szCs w:val="20"/>
          <w:lang w:eastAsia="pl-PL"/>
        </w:rPr>
        <w:t xml:space="preserve">Jednocześnie Zamawiający przedłuża termin związania z ofertą do  </w:t>
      </w:r>
      <w:r w:rsidR="00873C75" w:rsidRPr="00873C75">
        <w:rPr>
          <w:rFonts w:ascii="Verdana" w:eastAsia="Times New Roman" w:hAnsi="Verdana"/>
          <w:b/>
          <w:sz w:val="20"/>
          <w:szCs w:val="20"/>
          <w:lang w:eastAsia="pl-PL"/>
        </w:rPr>
        <w:t>24</w:t>
      </w:r>
      <w:r w:rsidR="00382EA3" w:rsidRPr="00873C75">
        <w:rPr>
          <w:rFonts w:ascii="Verdana" w:eastAsia="Times New Roman" w:hAnsi="Verdana"/>
          <w:b/>
          <w:sz w:val="20"/>
          <w:szCs w:val="20"/>
          <w:lang w:eastAsia="pl-PL"/>
        </w:rPr>
        <w:t>.0</w:t>
      </w:r>
      <w:r w:rsidR="00873C75" w:rsidRPr="00873C75">
        <w:rPr>
          <w:rFonts w:ascii="Verdana" w:eastAsia="Times New Roman" w:hAnsi="Verdana"/>
          <w:b/>
          <w:sz w:val="20"/>
          <w:szCs w:val="20"/>
          <w:lang w:eastAsia="pl-PL"/>
        </w:rPr>
        <w:t>7</w:t>
      </w:r>
      <w:r w:rsidR="00382EA3" w:rsidRPr="00873C75">
        <w:rPr>
          <w:rFonts w:ascii="Verdana" w:eastAsia="Times New Roman" w:hAnsi="Verdana"/>
          <w:b/>
          <w:sz w:val="20"/>
          <w:szCs w:val="20"/>
          <w:lang w:eastAsia="pl-PL"/>
        </w:rPr>
        <w:t>.2021 roku.</w:t>
      </w:r>
    </w:p>
    <w:p w:rsidR="007673CD" w:rsidRDefault="007673CD" w:rsidP="007673CD">
      <w:pPr>
        <w:spacing w:after="0" w:line="240" w:lineRule="auto"/>
        <w:rPr>
          <w:rFonts w:ascii="Times New Roman" w:hAnsi="Times New Roman"/>
          <w:b/>
          <w:sz w:val="20"/>
          <w:szCs w:val="20"/>
        </w:rPr>
      </w:pPr>
    </w:p>
    <w:p w:rsidR="00873C75" w:rsidRPr="00694641" w:rsidRDefault="00873C75" w:rsidP="00873C75">
      <w:pPr>
        <w:spacing w:after="0" w:line="240" w:lineRule="auto"/>
        <w:jc w:val="both"/>
        <w:rPr>
          <w:rFonts w:ascii="Verdana" w:hAnsi="Verdana" w:cs="Arial"/>
          <w:b/>
          <w:i/>
          <w:sz w:val="20"/>
          <w:szCs w:val="20"/>
          <w:u w:val="single"/>
        </w:rPr>
      </w:pPr>
      <w:r w:rsidRPr="00694641">
        <w:rPr>
          <w:rFonts w:ascii="Verdana" w:hAnsi="Verdana" w:cs="Arial"/>
          <w:b/>
          <w:i/>
          <w:sz w:val="20"/>
          <w:szCs w:val="20"/>
          <w:u w:val="single"/>
        </w:rPr>
        <w:t>Zam</w:t>
      </w:r>
      <w:r w:rsidR="00F24FF9">
        <w:rPr>
          <w:rFonts w:ascii="Verdana" w:hAnsi="Verdana" w:cs="Arial"/>
          <w:b/>
          <w:i/>
          <w:sz w:val="20"/>
          <w:szCs w:val="20"/>
          <w:u w:val="single"/>
        </w:rPr>
        <w:t>awiający publikuje zmodyfikowaną</w:t>
      </w:r>
      <w:r w:rsidRPr="00694641">
        <w:rPr>
          <w:rFonts w:ascii="Verdana" w:hAnsi="Verdana" w:cs="Arial"/>
          <w:b/>
          <w:i/>
          <w:sz w:val="20"/>
          <w:szCs w:val="20"/>
          <w:u w:val="single"/>
        </w:rPr>
        <w:t xml:space="preserve"> instrukcję SKE pod nazwą: „1</w:t>
      </w:r>
      <w:r>
        <w:rPr>
          <w:rFonts w:ascii="Verdana" w:hAnsi="Verdana" w:cs="Arial"/>
          <w:b/>
          <w:i/>
          <w:sz w:val="20"/>
          <w:szCs w:val="20"/>
          <w:u w:val="single"/>
        </w:rPr>
        <w:t>8</w:t>
      </w:r>
      <w:r w:rsidRPr="00694641">
        <w:rPr>
          <w:rFonts w:ascii="Verdana" w:hAnsi="Verdana" w:cs="Arial"/>
          <w:b/>
          <w:i/>
          <w:sz w:val="20"/>
          <w:szCs w:val="20"/>
          <w:u w:val="single"/>
        </w:rPr>
        <w:t xml:space="preserve">.06.2021r. </w:t>
      </w:r>
      <w:proofErr w:type="spellStart"/>
      <w:r w:rsidRPr="00694641">
        <w:rPr>
          <w:rFonts w:ascii="Verdana" w:hAnsi="Verdana" w:cs="Arial"/>
          <w:b/>
          <w:i/>
          <w:sz w:val="20"/>
          <w:szCs w:val="20"/>
          <w:u w:val="single"/>
        </w:rPr>
        <w:t>Zalacznik</w:t>
      </w:r>
      <w:proofErr w:type="spellEnd"/>
      <w:r w:rsidRPr="00694641">
        <w:rPr>
          <w:rFonts w:ascii="Verdana" w:hAnsi="Verdana" w:cs="Arial"/>
          <w:b/>
          <w:i/>
          <w:sz w:val="20"/>
          <w:szCs w:val="20"/>
          <w:u w:val="single"/>
        </w:rPr>
        <w:t xml:space="preserve"> nr 7 - instrukcja SKE - Systemu Komunikacji Elektronicznej”</w:t>
      </w:r>
    </w:p>
    <w:p w:rsidR="007F5CF4" w:rsidRPr="0038516E" w:rsidRDefault="007F5CF4" w:rsidP="00837828">
      <w:pPr>
        <w:spacing w:after="0" w:line="240" w:lineRule="auto"/>
        <w:rPr>
          <w:rFonts w:ascii="Times New Roman" w:hAnsi="Times New Roman"/>
          <w:b/>
          <w:sz w:val="20"/>
          <w:szCs w:val="20"/>
        </w:rPr>
      </w:pPr>
    </w:p>
    <w:sectPr w:rsidR="007F5CF4" w:rsidRPr="0038516E"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B4B" w:rsidRDefault="004C6B4B" w:rsidP="00F92ECB">
      <w:pPr>
        <w:spacing w:after="0" w:line="240" w:lineRule="auto"/>
      </w:pPr>
      <w:r>
        <w:separator/>
      </w:r>
    </w:p>
  </w:endnote>
  <w:endnote w:type="continuationSeparator" w:id="1">
    <w:p w:rsidR="004C6B4B" w:rsidRDefault="004C6B4B"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B" w:rsidRDefault="004F28CC">
    <w:pPr>
      <w:pStyle w:val="Stopka"/>
    </w:pPr>
    <w:fldSimple w:instr=" PAGE   \* MERGEFORMAT ">
      <w:r w:rsidR="00954422">
        <w:rPr>
          <w:noProof/>
        </w:rPr>
        <w:t>9</w:t>
      </w:r>
    </w:fldSimple>
    <w:r w:rsidR="004C6B4B">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B4B" w:rsidRDefault="004C6B4B" w:rsidP="00F92ECB">
      <w:pPr>
        <w:spacing w:after="0" w:line="240" w:lineRule="auto"/>
      </w:pPr>
      <w:r>
        <w:separator/>
      </w:r>
    </w:p>
  </w:footnote>
  <w:footnote w:type="continuationSeparator" w:id="1">
    <w:p w:rsidR="004C6B4B" w:rsidRDefault="004C6B4B"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B" w:rsidRDefault="004C6B4B">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528428C"/>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ABD79A2"/>
    <w:multiLevelType w:val="hybridMultilevel"/>
    <w:tmpl w:val="256630C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44E554A9"/>
    <w:multiLevelType w:val="hybridMultilevel"/>
    <w:tmpl w:val="B6486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5C9A416D"/>
    <w:multiLevelType w:val="hybridMultilevel"/>
    <w:tmpl w:val="7F9E5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6DD83601"/>
    <w:multiLevelType w:val="hybridMultilevel"/>
    <w:tmpl w:val="84EE4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70F2473F"/>
    <w:multiLevelType w:val="hybridMultilevel"/>
    <w:tmpl w:val="2B9C6DDE"/>
    <w:lvl w:ilvl="0" w:tplc="9970E55A">
      <w:start w:val="1"/>
      <w:numFmt w:val="decimal"/>
      <w:lvlText w:val="%1)"/>
      <w:lvlJc w:val="left"/>
      <w:pPr>
        <w:ind w:left="705" w:hanging="525"/>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6">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9"/>
  </w:num>
  <w:num w:numId="2">
    <w:abstractNumId w:val="21"/>
  </w:num>
  <w:num w:numId="3">
    <w:abstractNumId w:val="19"/>
  </w:num>
  <w:num w:numId="4">
    <w:abstractNumId w:val="19"/>
  </w:num>
  <w:num w:numId="5">
    <w:abstractNumId w:val="1"/>
  </w:num>
  <w:num w:numId="6">
    <w:abstractNumId w:val="1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7"/>
  </w:num>
  <w:num w:numId="10">
    <w:abstractNumId w:val="24"/>
  </w:num>
  <w:num w:numId="11">
    <w:abstractNumId w:val="28"/>
  </w:num>
  <w:num w:numId="12">
    <w:abstractNumId w:val="22"/>
  </w:num>
  <w:num w:numId="13">
    <w:abstractNumId w:val="5"/>
  </w:num>
  <w:num w:numId="14">
    <w:abstractNumId w:val="3"/>
  </w:num>
  <w:num w:numId="15">
    <w:abstractNumId w:val="30"/>
  </w:num>
  <w:num w:numId="16">
    <w:abstractNumId w:val="7"/>
  </w:num>
  <w:num w:numId="17">
    <w:abstractNumId w:val="27"/>
  </w:num>
  <w:num w:numId="18">
    <w:abstractNumId w:val="16"/>
  </w:num>
  <w:num w:numId="19">
    <w:abstractNumId w:val="20"/>
  </w:num>
  <w:num w:numId="20">
    <w:abstractNumId w:val="10"/>
  </w:num>
  <w:num w:numId="21">
    <w:abstractNumId w:val="15"/>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
  </w:num>
  <w:num w:numId="30">
    <w:abstractNumId w:val="8"/>
  </w:num>
  <w:num w:numId="31">
    <w:abstractNumId w:val="25"/>
  </w:num>
  <w:num w:numId="32">
    <w:abstractNumId w:val="4"/>
  </w:num>
  <w:num w:numId="33">
    <w:abstractNumId w:val="23"/>
  </w:num>
  <w:num w:numId="34">
    <w:abstractNumId w:val="1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2289"/>
  </w:hdrShapeDefaults>
  <w:footnotePr>
    <w:footnote w:id="0"/>
    <w:footnote w:id="1"/>
  </w:footnotePr>
  <w:endnotePr>
    <w:endnote w:id="0"/>
    <w:endnote w:id="1"/>
  </w:endnotePr>
  <w:compat/>
  <w:rsids>
    <w:rsidRoot w:val="00382AA3"/>
    <w:rsid w:val="0000206C"/>
    <w:rsid w:val="0000780D"/>
    <w:rsid w:val="00007AC8"/>
    <w:rsid w:val="000104DB"/>
    <w:rsid w:val="000112CC"/>
    <w:rsid w:val="0001526C"/>
    <w:rsid w:val="00031BB6"/>
    <w:rsid w:val="00043E4B"/>
    <w:rsid w:val="00044FC3"/>
    <w:rsid w:val="000546BB"/>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4AB6"/>
    <w:rsid w:val="00096EFB"/>
    <w:rsid w:val="00097317"/>
    <w:rsid w:val="000A0BE4"/>
    <w:rsid w:val="000A22FA"/>
    <w:rsid w:val="000A3C6F"/>
    <w:rsid w:val="000A50CA"/>
    <w:rsid w:val="000B09FC"/>
    <w:rsid w:val="000B2F9D"/>
    <w:rsid w:val="000B3D47"/>
    <w:rsid w:val="000B50FA"/>
    <w:rsid w:val="000B6C03"/>
    <w:rsid w:val="000C3DB9"/>
    <w:rsid w:val="000D0B29"/>
    <w:rsid w:val="000D3504"/>
    <w:rsid w:val="000D6AAA"/>
    <w:rsid w:val="000E00D2"/>
    <w:rsid w:val="000E068B"/>
    <w:rsid w:val="000E2496"/>
    <w:rsid w:val="000E2B31"/>
    <w:rsid w:val="000E4E3B"/>
    <w:rsid w:val="000E76D6"/>
    <w:rsid w:val="000E7B84"/>
    <w:rsid w:val="000F081C"/>
    <w:rsid w:val="000F24E5"/>
    <w:rsid w:val="000F3547"/>
    <w:rsid w:val="001013BE"/>
    <w:rsid w:val="00102A9D"/>
    <w:rsid w:val="001047AC"/>
    <w:rsid w:val="001100BA"/>
    <w:rsid w:val="00110B53"/>
    <w:rsid w:val="001113FD"/>
    <w:rsid w:val="00115177"/>
    <w:rsid w:val="001173B5"/>
    <w:rsid w:val="00117DEE"/>
    <w:rsid w:val="0012744C"/>
    <w:rsid w:val="00131BD9"/>
    <w:rsid w:val="00131DC1"/>
    <w:rsid w:val="00136782"/>
    <w:rsid w:val="00137533"/>
    <w:rsid w:val="001430EA"/>
    <w:rsid w:val="001436E9"/>
    <w:rsid w:val="0014509D"/>
    <w:rsid w:val="00150679"/>
    <w:rsid w:val="00152524"/>
    <w:rsid w:val="00154260"/>
    <w:rsid w:val="0015538F"/>
    <w:rsid w:val="00157183"/>
    <w:rsid w:val="00160647"/>
    <w:rsid w:val="001644EA"/>
    <w:rsid w:val="00166EC8"/>
    <w:rsid w:val="001714C4"/>
    <w:rsid w:val="001749E6"/>
    <w:rsid w:val="00174E12"/>
    <w:rsid w:val="001765F3"/>
    <w:rsid w:val="00181650"/>
    <w:rsid w:val="0018422F"/>
    <w:rsid w:val="00184AE9"/>
    <w:rsid w:val="001860A5"/>
    <w:rsid w:val="00187ECB"/>
    <w:rsid w:val="00191275"/>
    <w:rsid w:val="0019381B"/>
    <w:rsid w:val="0019747E"/>
    <w:rsid w:val="001A2F05"/>
    <w:rsid w:val="001A675E"/>
    <w:rsid w:val="001A7AB4"/>
    <w:rsid w:val="001B0649"/>
    <w:rsid w:val="001B13F6"/>
    <w:rsid w:val="001B2976"/>
    <w:rsid w:val="001B4E86"/>
    <w:rsid w:val="001B78EC"/>
    <w:rsid w:val="001B7C7A"/>
    <w:rsid w:val="001C3D2B"/>
    <w:rsid w:val="001C79C5"/>
    <w:rsid w:val="001D35E9"/>
    <w:rsid w:val="001D3FEB"/>
    <w:rsid w:val="001D5679"/>
    <w:rsid w:val="001D5B3B"/>
    <w:rsid w:val="001D5D80"/>
    <w:rsid w:val="001E55BE"/>
    <w:rsid w:val="001E5D19"/>
    <w:rsid w:val="001E6021"/>
    <w:rsid w:val="001F0DCB"/>
    <w:rsid w:val="001F144D"/>
    <w:rsid w:val="001F48C0"/>
    <w:rsid w:val="001F7C71"/>
    <w:rsid w:val="00201880"/>
    <w:rsid w:val="00202146"/>
    <w:rsid w:val="00207FA0"/>
    <w:rsid w:val="0021073C"/>
    <w:rsid w:val="00213153"/>
    <w:rsid w:val="0022004B"/>
    <w:rsid w:val="00220275"/>
    <w:rsid w:val="0022081F"/>
    <w:rsid w:val="002238D2"/>
    <w:rsid w:val="002238D6"/>
    <w:rsid w:val="00227E53"/>
    <w:rsid w:val="00227F64"/>
    <w:rsid w:val="00231512"/>
    <w:rsid w:val="00232DC1"/>
    <w:rsid w:val="00235AD3"/>
    <w:rsid w:val="00237393"/>
    <w:rsid w:val="00240B52"/>
    <w:rsid w:val="0024192D"/>
    <w:rsid w:val="00244138"/>
    <w:rsid w:val="002444B7"/>
    <w:rsid w:val="00246ED6"/>
    <w:rsid w:val="0024730D"/>
    <w:rsid w:val="002477D9"/>
    <w:rsid w:val="00247CBF"/>
    <w:rsid w:val="002540EC"/>
    <w:rsid w:val="00256A1F"/>
    <w:rsid w:val="002603B7"/>
    <w:rsid w:val="00260EA6"/>
    <w:rsid w:val="0026139F"/>
    <w:rsid w:val="00263BB0"/>
    <w:rsid w:val="002642A1"/>
    <w:rsid w:val="00264C55"/>
    <w:rsid w:val="0026596E"/>
    <w:rsid w:val="0026598B"/>
    <w:rsid w:val="00265CD8"/>
    <w:rsid w:val="002701A2"/>
    <w:rsid w:val="00270E5C"/>
    <w:rsid w:val="00271AE6"/>
    <w:rsid w:val="00273580"/>
    <w:rsid w:val="00275C4B"/>
    <w:rsid w:val="002763CD"/>
    <w:rsid w:val="0027691A"/>
    <w:rsid w:val="002833A7"/>
    <w:rsid w:val="002859BB"/>
    <w:rsid w:val="00293F49"/>
    <w:rsid w:val="00295BC9"/>
    <w:rsid w:val="002A04B0"/>
    <w:rsid w:val="002A0A8E"/>
    <w:rsid w:val="002A0EC4"/>
    <w:rsid w:val="002A78A7"/>
    <w:rsid w:val="002B18AF"/>
    <w:rsid w:val="002B2987"/>
    <w:rsid w:val="002B4AD2"/>
    <w:rsid w:val="002B4D26"/>
    <w:rsid w:val="002B4E4A"/>
    <w:rsid w:val="002B4E93"/>
    <w:rsid w:val="002B6F4B"/>
    <w:rsid w:val="002B7088"/>
    <w:rsid w:val="002C43AE"/>
    <w:rsid w:val="002D1243"/>
    <w:rsid w:val="002D2581"/>
    <w:rsid w:val="002D2F53"/>
    <w:rsid w:val="002D4106"/>
    <w:rsid w:val="002D4198"/>
    <w:rsid w:val="002D4864"/>
    <w:rsid w:val="002D4EF1"/>
    <w:rsid w:val="002D798E"/>
    <w:rsid w:val="002E0B08"/>
    <w:rsid w:val="002E0BF8"/>
    <w:rsid w:val="002E0DD2"/>
    <w:rsid w:val="002E5348"/>
    <w:rsid w:val="002E5B55"/>
    <w:rsid w:val="002F03CA"/>
    <w:rsid w:val="002F0BA9"/>
    <w:rsid w:val="002F5597"/>
    <w:rsid w:val="002F6515"/>
    <w:rsid w:val="0030079C"/>
    <w:rsid w:val="00300810"/>
    <w:rsid w:val="00306A38"/>
    <w:rsid w:val="00307D8E"/>
    <w:rsid w:val="003140A1"/>
    <w:rsid w:val="003243ED"/>
    <w:rsid w:val="0032754E"/>
    <w:rsid w:val="003319FD"/>
    <w:rsid w:val="00336F19"/>
    <w:rsid w:val="00341722"/>
    <w:rsid w:val="003455EA"/>
    <w:rsid w:val="003470A3"/>
    <w:rsid w:val="00352940"/>
    <w:rsid w:val="00353A82"/>
    <w:rsid w:val="00353D44"/>
    <w:rsid w:val="00364C87"/>
    <w:rsid w:val="00367081"/>
    <w:rsid w:val="003701F5"/>
    <w:rsid w:val="00372D03"/>
    <w:rsid w:val="00374FB8"/>
    <w:rsid w:val="0037679C"/>
    <w:rsid w:val="00377213"/>
    <w:rsid w:val="003801EE"/>
    <w:rsid w:val="00380512"/>
    <w:rsid w:val="00381813"/>
    <w:rsid w:val="00382AA3"/>
    <w:rsid w:val="00382DB0"/>
    <w:rsid w:val="00382EA3"/>
    <w:rsid w:val="0038516E"/>
    <w:rsid w:val="0039005C"/>
    <w:rsid w:val="00390D13"/>
    <w:rsid w:val="003917D2"/>
    <w:rsid w:val="00393CDC"/>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D7998"/>
    <w:rsid w:val="003E43AB"/>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119D6"/>
    <w:rsid w:val="00411AB9"/>
    <w:rsid w:val="00412D34"/>
    <w:rsid w:val="00413460"/>
    <w:rsid w:val="004177B5"/>
    <w:rsid w:val="00422E1E"/>
    <w:rsid w:val="00425073"/>
    <w:rsid w:val="00426597"/>
    <w:rsid w:val="00427243"/>
    <w:rsid w:val="00432538"/>
    <w:rsid w:val="00432E02"/>
    <w:rsid w:val="00433A6A"/>
    <w:rsid w:val="00433B3F"/>
    <w:rsid w:val="00433FFB"/>
    <w:rsid w:val="00442FCD"/>
    <w:rsid w:val="004438E2"/>
    <w:rsid w:val="00444022"/>
    <w:rsid w:val="004442EE"/>
    <w:rsid w:val="004478B7"/>
    <w:rsid w:val="00447FF8"/>
    <w:rsid w:val="004539E2"/>
    <w:rsid w:val="004542BE"/>
    <w:rsid w:val="0045484E"/>
    <w:rsid w:val="00455CAC"/>
    <w:rsid w:val="00462AE8"/>
    <w:rsid w:val="00463A1F"/>
    <w:rsid w:val="004669A0"/>
    <w:rsid w:val="00467057"/>
    <w:rsid w:val="00470FCD"/>
    <w:rsid w:val="004727F5"/>
    <w:rsid w:val="00472C51"/>
    <w:rsid w:val="004731C5"/>
    <w:rsid w:val="00475B91"/>
    <w:rsid w:val="00480DBE"/>
    <w:rsid w:val="00483C16"/>
    <w:rsid w:val="004848AB"/>
    <w:rsid w:val="004858EE"/>
    <w:rsid w:val="004929C3"/>
    <w:rsid w:val="00495971"/>
    <w:rsid w:val="00496275"/>
    <w:rsid w:val="004A3F70"/>
    <w:rsid w:val="004A495D"/>
    <w:rsid w:val="004A7A1D"/>
    <w:rsid w:val="004B0552"/>
    <w:rsid w:val="004B059C"/>
    <w:rsid w:val="004B22D6"/>
    <w:rsid w:val="004B62B7"/>
    <w:rsid w:val="004B6E24"/>
    <w:rsid w:val="004B73CA"/>
    <w:rsid w:val="004B774A"/>
    <w:rsid w:val="004C293C"/>
    <w:rsid w:val="004C6B4B"/>
    <w:rsid w:val="004C71D6"/>
    <w:rsid w:val="004D31C9"/>
    <w:rsid w:val="004D636B"/>
    <w:rsid w:val="004D72A0"/>
    <w:rsid w:val="004E24EB"/>
    <w:rsid w:val="004E76F8"/>
    <w:rsid w:val="004F1231"/>
    <w:rsid w:val="004F28CC"/>
    <w:rsid w:val="004F44F0"/>
    <w:rsid w:val="004F5917"/>
    <w:rsid w:val="004F7089"/>
    <w:rsid w:val="004F7769"/>
    <w:rsid w:val="004F7820"/>
    <w:rsid w:val="00503C27"/>
    <w:rsid w:val="005059DE"/>
    <w:rsid w:val="00506E66"/>
    <w:rsid w:val="005105A5"/>
    <w:rsid w:val="00510CF7"/>
    <w:rsid w:val="005214AD"/>
    <w:rsid w:val="00521B5D"/>
    <w:rsid w:val="005233E9"/>
    <w:rsid w:val="00523F29"/>
    <w:rsid w:val="005253C5"/>
    <w:rsid w:val="00526620"/>
    <w:rsid w:val="0053119F"/>
    <w:rsid w:val="005311DE"/>
    <w:rsid w:val="00534E13"/>
    <w:rsid w:val="005407CA"/>
    <w:rsid w:val="0054553C"/>
    <w:rsid w:val="0054689D"/>
    <w:rsid w:val="00550F96"/>
    <w:rsid w:val="005514C4"/>
    <w:rsid w:val="005532F2"/>
    <w:rsid w:val="00562225"/>
    <w:rsid w:val="00572792"/>
    <w:rsid w:val="00572EB7"/>
    <w:rsid w:val="00573AA7"/>
    <w:rsid w:val="00574A6A"/>
    <w:rsid w:val="00581028"/>
    <w:rsid w:val="00583FF3"/>
    <w:rsid w:val="00584964"/>
    <w:rsid w:val="005869B6"/>
    <w:rsid w:val="00591C7C"/>
    <w:rsid w:val="00596A6C"/>
    <w:rsid w:val="00596F2B"/>
    <w:rsid w:val="005A20B4"/>
    <w:rsid w:val="005A2991"/>
    <w:rsid w:val="005B116A"/>
    <w:rsid w:val="005B1380"/>
    <w:rsid w:val="005B20E4"/>
    <w:rsid w:val="005B5FE6"/>
    <w:rsid w:val="005B7A86"/>
    <w:rsid w:val="005C1004"/>
    <w:rsid w:val="005C1051"/>
    <w:rsid w:val="005C12B1"/>
    <w:rsid w:val="005C2747"/>
    <w:rsid w:val="005C2F9C"/>
    <w:rsid w:val="005C3D3C"/>
    <w:rsid w:val="005C506F"/>
    <w:rsid w:val="005C725F"/>
    <w:rsid w:val="005D0BBA"/>
    <w:rsid w:val="005D3B44"/>
    <w:rsid w:val="005D44E8"/>
    <w:rsid w:val="005D714B"/>
    <w:rsid w:val="005E0E4C"/>
    <w:rsid w:val="005E14E2"/>
    <w:rsid w:val="005E18BE"/>
    <w:rsid w:val="005E1CDE"/>
    <w:rsid w:val="005E2202"/>
    <w:rsid w:val="005E40A7"/>
    <w:rsid w:val="005E619A"/>
    <w:rsid w:val="005F3CBC"/>
    <w:rsid w:val="005F4950"/>
    <w:rsid w:val="005F5F57"/>
    <w:rsid w:val="005F6B89"/>
    <w:rsid w:val="00600361"/>
    <w:rsid w:val="00601ECF"/>
    <w:rsid w:val="006034F4"/>
    <w:rsid w:val="00603989"/>
    <w:rsid w:val="00605620"/>
    <w:rsid w:val="00611962"/>
    <w:rsid w:val="00612124"/>
    <w:rsid w:val="00614EB9"/>
    <w:rsid w:val="006154C3"/>
    <w:rsid w:val="00623B5F"/>
    <w:rsid w:val="00623BC3"/>
    <w:rsid w:val="00626041"/>
    <w:rsid w:val="00627790"/>
    <w:rsid w:val="00632151"/>
    <w:rsid w:val="00633CDC"/>
    <w:rsid w:val="00634B60"/>
    <w:rsid w:val="00634BCD"/>
    <w:rsid w:val="00636F3D"/>
    <w:rsid w:val="00640AD5"/>
    <w:rsid w:val="00640F63"/>
    <w:rsid w:val="006420D0"/>
    <w:rsid w:val="006439C1"/>
    <w:rsid w:val="0064646A"/>
    <w:rsid w:val="00653875"/>
    <w:rsid w:val="0065428F"/>
    <w:rsid w:val="00655632"/>
    <w:rsid w:val="006570CF"/>
    <w:rsid w:val="00661385"/>
    <w:rsid w:val="00661E09"/>
    <w:rsid w:val="006628DA"/>
    <w:rsid w:val="006652E2"/>
    <w:rsid w:val="00667552"/>
    <w:rsid w:val="00667672"/>
    <w:rsid w:val="00670D2C"/>
    <w:rsid w:val="00672DDB"/>
    <w:rsid w:val="00674EA5"/>
    <w:rsid w:val="0067506F"/>
    <w:rsid w:val="006812C5"/>
    <w:rsid w:val="006830CC"/>
    <w:rsid w:val="00686B03"/>
    <w:rsid w:val="00686DC6"/>
    <w:rsid w:val="00691693"/>
    <w:rsid w:val="00691F63"/>
    <w:rsid w:val="00692B49"/>
    <w:rsid w:val="00695E79"/>
    <w:rsid w:val="006A121C"/>
    <w:rsid w:val="006A311F"/>
    <w:rsid w:val="006A3E98"/>
    <w:rsid w:val="006A44AA"/>
    <w:rsid w:val="006A4933"/>
    <w:rsid w:val="006A6751"/>
    <w:rsid w:val="006B182F"/>
    <w:rsid w:val="006B18C4"/>
    <w:rsid w:val="006B3A3A"/>
    <w:rsid w:val="006B3A7C"/>
    <w:rsid w:val="006B426A"/>
    <w:rsid w:val="006B579F"/>
    <w:rsid w:val="006B5B54"/>
    <w:rsid w:val="006C0002"/>
    <w:rsid w:val="006C0CB3"/>
    <w:rsid w:val="006C167F"/>
    <w:rsid w:val="006C54BA"/>
    <w:rsid w:val="006C6092"/>
    <w:rsid w:val="006C7DD6"/>
    <w:rsid w:val="006D2DF9"/>
    <w:rsid w:val="006D397A"/>
    <w:rsid w:val="006D476F"/>
    <w:rsid w:val="006D6535"/>
    <w:rsid w:val="006D662A"/>
    <w:rsid w:val="006D6B9E"/>
    <w:rsid w:val="006E000E"/>
    <w:rsid w:val="006E0533"/>
    <w:rsid w:val="006E200B"/>
    <w:rsid w:val="006E254B"/>
    <w:rsid w:val="006E31E9"/>
    <w:rsid w:val="006E51FA"/>
    <w:rsid w:val="006E6421"/>
    <w:rsid w:val="006E71FE"/>
    <w:rsid w:val="006F168C"/>
    <w:rsid w:val="006F35B4"/>
    <w:rsid w:val="006F5452"/>
    <w:rsid w:val="00707B9C"/>
    <w:rsid w:val="00710043"/>
    <w:rsid w:val="00711E34"/>
    <w:rsid w:val="007153D7"/>
    <w:rsid w:val="00715EAA"/>
    <w:rsid w:val="00717776"/>
    <w:rsid w:val="00721571"/>
    <w:rsid w:val="00721609"/>
    <w:rsid w:val="00721810"/>
    <w:rsid w:val="00724441"/>
    <w:rsid w:val="00724B1A"/>
    <w:rsid w:val="00726028"/>
    <w:rsid w:val="00726F0B"/>
    <w:rsid w:val="00732C39"/>
    <w:rsid w:val="007346FE"/>
    <w:rsid w:val="00734C07"/>
    <w:rsid w:val="007357D1"/>
    <w:rsid w:val="00740715"/>
    <w:rsid w:val="007426F5"/>
    <w:rsid w:val="00742BFA"/>
    <w:rsid w:val="007454F6"/>
    <w:rsid w:val="00746604"/>
    <w:rsid w:val="00746FA2"/>
    <w:rsid w:val="007509D4"/>
    <w:rsid w:val="00752C35"/>
    <w:rsid w:val="00754668"/>
    <w:rsid w:val="007559ED"/>
    <w:rsid w:val="00761061"/>
    <w:rsid w:val="00762D68"/>
    <w:rsid w:val="00763DF7"/>
    <w:rsid w:val="007673CD"/>
    <w:rsid w:val="00773BD0"/>
    <w:rsid w:val="00773CB1"/>
    <w:rsid w:val="007804C5"/>
    <w:rsid w:val="007834DB"/>
    <w:rsid w:val="00783767"/>
    <w:rsid w:val="00783C5F"/>
    <w:rsid w:val="00785568"/>
    <w:rsid w:val="00785C77"/>
    <w:rsid w:val="00786F8F"/>
    <w:rsid w:val="00787C92"/>
    <w:rsid w:val="00790BD7"/>
    <w:rsid w:val="00792A3F"/>
    <w:rsid w:val="0079327D"/>
    <w:rsid w:val="007951F0"/>
    <w:rsid w:val="007A0F7B"/>
    <w:rsid w:val="007A1B9E"/>
    <w:rsid w:val="007A2150"/>
    <w:rsid w:val="007A2696"/>
    <w:rsid w:val="007A55B8"/>
    <w:rsid w:val="007A7C93"/>
    <w:rsid w:val="007B0251"/>
    <w:rsid w:val="007B10CA"/>
    <w:rsid w:val="007B3B63"/>
    <w:rsid w:val="007B4AC1"/>
    <w:rsid w:val="007B60D4"/>
    <w:rsid w:val="007C3DED"/>
    <w:rsid w:val="007C5D8D"/>
    <w:rsid w:val="007C69B4"/>
    <w:rsid w:val="007C6BD6"/>
    <w:rsid w:val="007D092E"/>
    <w:rsid w:val="007D1E7F"/>
    <w:rsid w:val="007D29FD"/>
    <w:rsid w:val="007D314C"/>
    <w:rsid w:val="007D3371"/>
    <w:rsid w:val="007D34CE"/>
    <w:rsid w:val="007D59FD"/>
    <w:rsid w:val="007D6991"/>
    <w:rsid w:val="007E1934"/>
    <w:rsid w:val="007E1EB9"/>
    <w:rsid w:val="007F05F8"/>
    <w:rsid w:val="007F3E09"/>
    <w:rsid w:val="007F5CF4"/>
    <w:rsid w:val="008010EB"/>
    <w:rsid w:val="00805714"/>
    <w:rsid w:val="008058AA"/>
    <w:rsid w:val="00806E11"/>
    <w:rsid w:val="008073A6"/>
    <w:rsid w:val="00810EDF"/>
    <w:rsid w:val="008122D8"/>
    <w:rsid w:val="00816109"/>
    <w:rsid w:val="00821DC0"/>
    <w:rsid w:val="00824246"/>
    <w:rsid w:val="00824DD9"/>
    <w:rsid w:val="00827D5A"/>
    <w:rsid w:val="008312FE"/>
    <w:rsid w:val="0083233D"/>
    <w:rsid w:val="00834A8D"/>
    <w:rsid w:val="00834C3A"/>
    <w:rsid w:val="00837828"/>
    <w:rsid w:val="00840903"/>
    <w:rsid w:val="00840A3E"/>
    <w:rsid w:val="00841FB0"/>
    <w:rsid w:val="00844F61"/>
    <w:rsid w:val="00851A48"/>
    <w:rsid w:val="00851E8E"/>
    <w:rsid w:val="00854AE2"/>
    <w:rsid w:val="00860C87"/>
    <w:rsid w:val="0086179D"/>
    <w:rsid w:val="00861C76"/>
    <w:rsid w:val="008643BE"/>
    <w:rsid w:val="00864686"/>
    <w:rsid w:val="008663CA"/>
    <w:rsid w:val="00873C75"/>
    <w:rsid w:val="0087411E"/>
    <w:rsid w:val="00883862"/>
    <w:rsid w:val="00884D70"/>
    <w:rsid w:val="0089332D"/>
    <w:rsid w:val="008949C8"/>
    <w:rsid w:val="00894D98"/>
    <w:rsid w:val="008A05C3"/>
    <w:rsid w:val="008A0A9C"/>
    <w:rsid w:val="008A0D01"/>
    <w:rsid w:val="008A1F36"/>
    <w:rsid w:val="008A576F"/>
    <w:rsid w:val="008A747F"/>
    <w:rsid w:val="008B0EE3"/>
    <w:rsid w:val="008B3404"/>
    <w:rsid w:val="008B45D3"/>
    <w:rsid w:val="008B4C88"/>
    <w:rsid w:val="008B7643"/>
    <w:rsid w:val="008C19C0"/>
    <w:rsid w:val="008C33E9"/>
    <w:rsid w:val="008C3C88"/>
    <w:rsid w:val="008C47D1"/>
    <w:rsid w:val="008C500E"/>
    <w:rsid w:val="008C6734"/>
    <w:rsid w:val="008D054C"/>
    <w:rsid w:val="008D1529"/>
    <w:rsid w:val="008D3DFE"/>
    <w:rsid w:val="008D732C"/>
    <w:rsid w:val="008E0655"/>
    <w:rsid w:val="008E240C"/>
    <w:rsid w:val="008E34C0"/>
    <w:rsid w:val="008E6914"/>
    <w:rsid w:val="008F0389"/>
    <w:rsid w:val="008F04B5"/>
    <w:rsid w:val="008F2F46"/>
    <w:rsid w:val="008F39CA"/>
    <w:rsid w:val="008F666E"/>
    <w:rsid w:val="0090023C"/>
    <w:rsid w:val="00900281"/>
    <w:rsid w:val="00902F6C"/>
    <w:rsid w:val="00904583"/>
    <w:rsid w:val="009059D4"/>
    <w:rsid w:val="00906A26"/>
    <w:rsid w:val="00915D1A"/>
    <w:rsid w:val="009173B8"/>
    <w:rsid w:val="009178CE"/>
    <w:rsid w:val="00917D93"/>
    <w:rsid w:val="0092141C"/>
    <w:rsid w:val="00922BD1"/>
    <w:rsid w:val="00924EE8"/>
    <w:rsid w:val="00925233"/>
    <w:rsid w:val="0092654E"/>
    <w:rsid w:val="009311A5"/>
    <w:rsid w:val="009315D0"/>
    <w:rsid w:val="00931920"/>
    <w:rsid w:val="00933424"/>
    <w:rsid w:val="00940E04"/>
    <w:rsid w:val="00943718"/>
    <w:rsid w:val="00953779"/>
    <w:rsid w:val="00954422"/>
    <w:rsid w:val="009567B1"/>
    <w:rsid w:val="00961086"/>
    <w:rsid w:val="00965756"/>
    <w:rsid w:val="00971354"/>
    <w:rsid w:val="0097185A"/>
    <w:rsid w:val="00972064"/>
    <w:rsid w:val="00973117"/>
    <w:rsid w:val="00973286"/>
    <w:rsid w:val="009737B4"/>
    <w:rsid w:val="009739A8"/>
    <w:rsid w:val="00974C27"/>
    <w:rsid w:val="00974E33"/>
    <w:rsid w:val="00977930"/>
    <w:rsid w:val="009806E9"/>
    <w:rsid w:val="00983455"/>
    <w:rsid w:val="009839DC"/>
    <w:rsid w:val="00987B44"/>
    <w:rsid w:val="0099178A"/>
    <w:rsid w:val="00993E98"/>
    <w:rsid w:val="009A1923"/>
    <w:rsid w:val="009A56AA"/>
    <w:rsid w:val="009B00B9"/>
    <w:rsid w:val="009B0855"/>
    <w:rsid w:val="009B7379"/>
    <w:rsid w:val="009B769A"/>
    <w:rsid w:val="009C0F68"/>
    <w:rsid w:val="009C16DC"/>
    <w:rsid w:val="009C17EC"/>
    <w:rsid w:val="009C4D01"/>
    <w:rsid w:val="009C790E"/>
    <w:rsid w:val="009C7A2C"/>
    <w:rsid w:val="009D026F"/>
    <w:rsid w:val="009D0C2E"/>
    <w:rsid w:val="009D1C60"/>
    <w:rsid w:val="009D266E"/>
    <w:rsid w:val="009D2791"/>
    <w:rsid w:val="009D33BB"/>
    <w:rsid w:val="009D3B5F"/>
    <w:rsid w:val="009D4C03"/>
    <w:rsid w:val="009D4C04"/>
    <w:rsid w:val="009D5764"/>
    <w:rsid w:val="009D57DB"/>
    <w:rsid w:val="009E05BE"/>
    <w:rsid w:val="009E51D5"/>
    <w:rsid w:val="009E77BA"/>
    <w:rsid w:val="009F2AB4"/>
    <w:rsid w:val="009F4D8B"/>
    <w:rsid w:val="009F6618"/>
    <w:rsid w:val="009F7031"/>
    <w:rsid w:val="009F72C6"/>
    <w:rsid w:val="00A00315"/>
    <w:rsid w:val="00A00601"/>
    <w:rsid w:val="00A01766"/>
    <w:rsid w:val="00A0194B"/>
    <w:rsid w:val="00A0399E"/>
    <w:rsid w:val="00A06635"/>
    <w:rsid w:val="00A06A40"/>
    <w:rsid w:val="00A07AEC"/>
    <w:rsid w:val="00A11337"/>
    <w:rsid w:val="00A133E7"/>
    <w:rsid w:val="00A13FD2"/>
    <w:rsid w:val="00A17DD9"/>
    <w:rsid w:val="00A17ECC"/>
    <w:rsid w:val="00A20E94"/>
    <w:rsid w:val="00A21187"/>
    <w:rsid w:val="00A24B3D"/>
    <w:rsid w:val="00A25508"/>
    <w:rsid w:val="00A314EA"/>
    <w:rsid w:val="00A33017"/>
    <w:rsid w:val="00A3505A"/>
    <w:rsid w:val="00A37134"/>
    <w:rsid w:val="00A411EB"/>
    <w:rsid w:val="00A41ED9"/>
    <w:rsid w:val="00A44653"/>
    <w:rsid w:val="00A465C1"/>
    <w:rsid w:val="00A47651"/>
    <w:rsid w:val="00A50093"/>
    <w:rsid w:val="00A520F7"/>
    <w:rsid w:val="00A52383"/>
    <w:rsid w:val="00A52E60"/>
    <w:rsid w:val="00A535E3"/>
    <w:rsid w:val="00A5575B"/>
    <w:rsid w:val="00A561A6"/>
    <w:rsid w:val="00A579D5"/>
    <w:rsid w:val="00A64B89"/>
    <w:rsid w:val="00A64F07"/>
    <w:rsid w:val="00A65497"/>
    <w:rsid w:val="00A65642"/>
    <w:rsid w:val="00A659BD"/>
    <w:rsid w:val="00A66832"/>
    <w:rsid w:val="00A67513"/>
    <w:rsid w:val="00A67540"/>
    <w:rsid w:val="00A705E6"/>
    <w:rsid w:val="00A72216"/>
    <w:rsid w:val="00A73545"/>
    <w:rsid w:val="00A74090"/>
    <w:rsid w:val="00A8153C"/>
    <w:rsid w:val="00A8189B"/>
    <w:rsid w:val="00A8214C"/>
    <w:rsid w:val="00A9090D"/>
    <w:rsid w:val="00A9144F"/>
    <w:rsid w:val="00A91696"/>
    <w:rsid w:val="00A92B10"/>
    <w:rsid w:val="00A930B6"/>
    <w:rsid w:val="00A943C6"/>
    <w:rsid w:val="00AA59CC"/>
    <w:rsid w:val="00AB3DDC"/>
    <w:rsid w:val="00AB7E86"/>
    <w:rsid w:val="00AB7FDE"/>
    <w:rsid w:val="00AC3110"/>
    <w:rsid w:val="00AC4164"/>
    <w:rsid w:val="00AC6067"/>
    <w:rsid w:val="00AC639E"/>
    <w:rsid w:val="00AD4604"/>
    <w:rsid w:val="00AE0E8C"/>
    <w:rsid w:val="00AE35E1"/>
    <w:rsid w:val="00AE3884"/>
    <w:rsid w:val="00AE6955"/>
    <w:rsid w:val="00AF26EF"/>
    <w:rsid w:val="00AF2854"/>
    <w:rsid w:val="00AF3D9D"/>
    <w:rsid w:val="00AF7B0C"/>
    <w:rsid w:val="00B02638"/>
    <w:rsid w:val="00B04DB0"/>
    <w:rsid w:val="00B0726B"/>
    <w:rsid w:val="00B07BFA"/>
    <w:rsid w:val="00B10C1C"/>
    <w:rsid w:val="00B142A3"/>
    <w:rsid w:val="00B17BBF"/>
    <w:rsid w:val="00B203E5"/>
    <w:rsid w:val="00B207AF"/>
    <w:rsid w:val="00B26C69"/>
    <w:rsid w:val="00B27170"/>
    <w:rsid w:val="00B30C03"/>
    <w:rsid w:val="00B318CC"/>
    <w:rsid w:val="00B4209C"/>
    <w:rsid w:val="00B426B6"/>
    <w:rsid w:val="00B44849"/>
    <w:rsid w:val="00B46119"/>
    <w:rsid w:val="00B46860"/>
    <w:rsid w:val="00B5174B"/>
    <w:rsid w:val="00B51918"/>
    <w:rsid w:val="00B54ACE"/>
    <w:rsid w:val="00B55668"/>
    <w:rsid w:val="00B6200D"/>
    <w:rsid w:val="00B6684F"/>
    <w:rsid w:val="00B67B74"/>
    <w:rsid w:val="00B67C38"/>
    <w:rsid w:val="00B7736B"/>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B1C56"/>
    <w:rsid w:val="00BB36F6"/>
    <w:rsid w:val="00BB4E78"/>
    <w:rsid w:val="00BB7BCC"/>
    <w:rsid w:val="00BC09C1"/>
    <w:rsid w:val="00BC27BD"/>
    <w:rsid w:val="00BC4AB2"/>
    <w:rsid w:val="00BD12BA"/>
    <w:rsid w:val="00BD2C2D"/>
    <w:rsid w:val="00BD65CB"/>
    <w:rsid w:val="00BE14DE"/>
    <w:rsid w:val="00BE1CC4"/>
    <w:rsid w:val="00BE2510"/>
    <w:rsid w:val="00BE38CF"/>
    <w:rsid w:val="00BE5A5D"/>
    <w:rsid w:val="00BE6261"/>
    <w:rsid w:val="00BF0723"/>
    <w:rsid w:val="00BF1B14"/>
    <w:rsid w:val="00BF6C86"/>
    <w:rsid w:val="00C00165"/>
    <w:rsid w:val="00C012E1"/>
    <w:rsid w:val="00C01ED3"/>
    <w:rsid w:val="00C020AF"/>
    <w:rsid w:val="00C0244D"/>
    <w:rsid w:val="00C06710"/>
    <w:rsid w:val="00C07D0E"/>
    <w:rsid w:val="00C10FFB"/>
    <w:rsid w:val="00C11453"/>
    <w:rsid w:val="00C129E1"/>
    <w:rsid w:val="00C14FB4"/>
    <w:rsid w:val="00C20C40"/>
    <w:rsid w:val="00C23067"/>
    <w:rsid w:val="00C25144"/>
    <w:rsid w:val="00C2619B"/>
    <w:rsid w:val="00C26FFA"/>
    <w:rsid w:val="00C30A75"/>
    <w:rsid w:val="00C320CF"/>
    <w:rsid w:val="00C3410A"/>
    <w:rsid w:val="00C3579C"/>
    <w:rsid w:val="00C37388"/>
    <w:rsid w:val="00C4190D"/>
    <w:rsid w:val="00C44272"/>
    <w:rsid w:val="00C46529"/>
    <w:rsid w:val="00C50BE9"/>
    <w:rsid w:val="00C54265"/>
    <w:rsid w:val="00C54D3F"/>
    <w:rsid w:val="00C55BD4"/>
    <w:rsid w:val="00C55F0E"/>
    <w:rsid w:val="00C6162C"/>
    <w:rsid w:val="00C621EA"/>
    <w:rsid w:val="00C63CBB"/>
    <w:rsid w:val="00C64F55"/>
    <w:rsid w:val="00C67591"/>
    <w:rsid w:val="00C70983"/>
    <w:rsid w:val="00C70D7A"/>
    <w:rsid w:val="00C70F01"/>
    <w:rsid w:val="00C71273"/>
    <w:rsid w:val="00C71BD7"/>
    <w:rsid w:val="00C72754"/>
    <w:rsid w:val="00C72B25"/>
    <w:rsid w:val="00C80B78"/>
    <w:rsid w:val="00C824B9"/>
    <w:rsid w:val="00C86EE3"/>
    <w:rsid w:val="00C87937"/>
    <w:rsid w:val="00C9193F"/>
    <w:rsid w:val="00C93D1C"/>
    <w:rsid w:val="00C95CD4"/>
    <w:rsid w:val="00C968E9"/>
    <w:rsid w:val="00CA071B"/>
    <w:rsid w:val="00CA226B"/>
    <w:rsid w:val="00CA25CB"/>
    <w:rsid w:val="00CA6965"/>
    <w:rsid w:val="00CB1E6A"/>
    <w:rsid w:val="00CB249F"/>
    <w:rsid w:val="00CB7FFB"/>
    <w:rsid w:val="00CC12C0"/>
    <w:rsid w:val="00CC13D6"/>
    <w:rsid w:val="00CC1508"/>
    <w:rsid w:val="00CC4D1D"/>
    <w:rsid w:val="00CD0565"/>
    <w:rsid w:val="00CD25DD"/>
    <w:rsid w:val="00CD5620"/>
    <w:rsid w:val="00CD6EC9"/>
    <w:rsid w:val="00CD7FBB"/>
    <w:rsid w:val="00CE002F"/>
    <w:rsid w:val="00CE28B5"/>
    <w:rsid w:val="00CE440E"/>
    <w:rsid w:val="00CF5369"/>
    <w:rsid w:val="00CF5709"/>
    <w:rsid w:val="00CF58AC"/>
    <w:rsid w:val="00D0085E"/>
    <w:rsid w:val="00D04765"/>
    <w:rsid w:val="00D11066"/>
    <w:rsid w:val="00D112FD"/>
    <w:rsid w:val="00D12B20"/>
    <w:rsid w:val="00D135B2"/>
    <w:rsid w:val="00D142A4"/>
    <w:rsid w:val="00D1675F"/>
    <w:rsid w:val="00D17A8C"/>
    <w:rsid w:val="00D17E68"/>
    <w:rsid w:val="00D22A8A"/>
    <w:rsid w:val="00D2591F"/>
    <w:rsid w:val="00D307EE"/>
    <w:rsid w:val="00D35169"/>
    <w:rsid w:val="00D357D3"/>
    <w:rsid w:val="00D35A7F"/>
    <w:rsid w:val="00D3711C"/>
    <w:rsid w:val="00D373C8"/>
    <w:rsid w:val="00D37B16"/>
    <w:rsid w:val="00D60F5A"/>
    <w:rsid w:val="00D63165"/>
    <w:rsid w:val="00D659CA"/>
    <w:rsid w:val="00D65FB0"/>
    <w:rsid w:val="00D7008F"/>
    <w:rsid w:val="00D71650"/>
    <w:rsid w:val="00D71E54"/>
    <w:rsid w:val="00D72C5C"/>
    <w:rsid w:val="00D73307"/>
    <w:rsid w:val="00D75E34"/>
    <w:rsid w:val="00D8417B"/>
    <w:rsid w:val="00D84D41"/>
    <w:rsid w:val="00D86092"/>
    <w:rsid w:val="00D86100"/>
    <w:rsid w:val="00D921F4"/>
    <w:rsid w:val="00D94892"/>
    <w:rsid w:val="00DA3B64"/>
    <w:rsid w:val="00DA4BB2"/>
    <w:rsid w:val="00DA7B57"/>
    <w:rsid w:val="00DA7F26"/>
    <w:rsid w:val="00DB2F0E"/>
    <w:rsid w:val="00DB6324"/>
    <w:rsid w:val="00DC127B"/>
    <w:rsid w:val="00DC28AD"/>
    <w:rsid w:val="00DC50C7"/>
    <w:rsid w:val="00DC519E"/>
    <w:rsid w:val="00DC5462"/>
    <w:rsid w:val="00DC6CA9"/>
    <w:rsid w:val="00DD0356"/>
    <w:rsid w:val="00DD2207"/>
    <w:rsid w:val="00DD2E86"/>
    <w:rsid w:val="00DD5E1A"/>
    <w:rsid w:val="00DD6D4D"/>
    <w:rsid w:val="00DE070C"/>
    <w:rsid w:val="00DE0D94"/>
    <w:rsid w:val="00DE2F24"/>
    <w:rsid w:val="00DE558A"/>
    <w:rsid w:val="00DE6535"/>
    <w:rsid w:val="00DE6E2D"/>
    <w:rsid w:val="00DF0485"/>
    <w:rsid w:val="00DF1820"/>
    <w:rsid w:val="00DF3C3E"/>
    <w:rsid w:val="00DF5073"/>
    <w:rsid w:val="00DF567B"/>
    <w:rsid w:val="00E014FB"/>
    <w:rsid w:val="00E01FF3"/>
    <w:rsid w:val="00E02371"/>
    <w:rsid w:val="00E02FC3"/>
    <w:rsid w:val="00E03D7B"/>
    <w:rsid w:val="00E04280"/>
    <w:rsid w:val="00E053B6"/>
    <w:rsid w:val="00E054BC"/>
    <w:rsid w:val="00E05DE9"/>
    <w:rsid w:val="00E07328"/>
    <w:rsid w:val="00E10F80"/>
    <w:rsid w:val="00E136CB"/>
    <w:rsid w:val="00E13E3C"/>
    <w:rsid w:val="00E15BB3"/>
    <w:rsid w:val="00E264EF"/>
    <w:rsid w:val="00E31F55"/>
    <w:rsid w:val="00E321E2"/>
    <w:rsid w:val="00E33D24"/>
    <w:rsid w:val="00E34A80"/>
    <w:rsid w:val="00E3555B"/>
    <w:rsid w:val="00E37540"/>
    <w:rsid w:val="00E42F5D"/>
    <w:rsid w:val="00E439FD"/>
    <w:rsid w:val="00E47C4D"/>
    <w:rsid w:val="00E500A9"/>
    <w:rsid w:val="00E51174"/>
    <w:rsid w:val="00E521F5"/>
    <w:rsid w:val="00E52F18"/>
    <w:rsid w:val="00E57EDA"/>
    <w:rsid w:val="00E60532"/>
    <w:rsid w:val="00E6682D"/>
    <w:rsid w:val="00E66B72"/>
    <w:rsid w:val="00E71136"/>
    <w:rsid w:val="00E73632"/>
    <w:rsid w:val="00E743B8"/>
    <w:rsid w:val="00E7527D"/>
    <w:rsid w:val="00E77813"/>
    <w:rsid w:val="00E81CD4"/>
    <w:rsid w:val="00E83822"/>
    <w:rsid w:val="00E857E1"/>
    <w:rsid w:val="00E876A8"/>
    <w:rsid w:val="00E942D4"/>
    <w:rsid w:val="00E97EB8"/>
    <w:rsid w:val="00EA075D"/>
    <w:rsid w:val="00EA21CB"/>
    <w:rsid w:val="00EA25F0"/>
    <w:rsid w:val="00EB1846"/>
    <w:rsid w:val="00EB2193"/>
    <w:rsid w:val="00EB25DF"/>
    <w:rsid w:val="00EC2C35"/>
    <w:rsid w:val="00EC7A61"/>
    <w:rsid w:val="00ED0D13"/>
    <w:rsid w:val="00ED3EF3"/>
    <w:rsid w:val="00ED4BAE"/>
    <w:rsid w:val="00ED572C"/>
    <w:rsid w:val="00ED5F42"/>
    <w:rsid w:val="00ED5F99"/>
    <w:rsid w:val="00ED6501"/>
    <w:rsid w:val="00EE05D6"/>
    <w:rsid w:val="00EE2FB9"/>
    <w:rsid w:val="00EF1E9C"/>
    <w:rsid w:val="00EF237C"/>
    <w:rsid w:val="00F00BF4"/>
    <w:rsid w:val="00F04D58"/>
    <w:rsid w:val="00F060D8"/>
    <w:rsid w:val="00F13B7B"/>
    <w:rsid w:val="00F20572"/>
    <w:rsid w:val="00F22EB4"/>
    <w:rsid w:val="00F23AA6"/>
    <w:rsid w:val="00F24985"/>
    <w:rsid w:val="00F24FF9"/>
    <w:rsid w:val="00F2669F"/>
    <w:rsid w:val="00F26CDD"/>
    <w:rsid w:val="00F27005"/>
    <w:rsid w:val="00F27493"/>
    <w:rsid w:val="00F301A1"/>
    <w:rsid w:val="00F3286E"/>
    <w:rsid w:val="00F32E0B"/>
    <w:rsid w:val="00F35091"/>
    <w:rsid w:val="00F36C74"/>
    <w:rsid w:val="00F36CEB"/>
    <w:rsid w:val="00F37D89"/>
    <w:rsid w:val="00F40DF5"/>
    <w:rsid w:val="00F41376"/>
    <w:rsid w:val="00F428D9"/>
    <w:rsid w:val="00F43FFF"/>
    <w:rsid w:val="00F4574D"/>
    <w:rsid w:val="00F45DE7"/>
    <w:rsid w:val="00F50A93"/>
    <w:rsid w:val="00F50FE4"/>
    <w:rsid w:val="00F516EC"/>
    <w:rsid w:val="00F52122"/>
    <w:rsid w:val="00F521EB"/>
    <w:rsid w:val="00F62091"/>
    <w:rsid w:val="00F62653"/>
    <w:rsid w:val="00F638E3"/>
    <w:rsid w:val="00F645EB"/>
    <w:rsid w:val="00F67CD5"/>
    <w:rsid w:val="00F71057"/>
    <w:rsid w:val="00F76F38"/>
    <w:rsid w:val="00F81674"/>
    <w:rsid w:val="00F81876"/>
    <w:rsid w:val="00F92ECB"/>
    <w:rsid w:val="00F937EA"/>
    <w:rsid w:val="00F93959"/>
    <w:rsid w:val="00F9768E"/>
    <w:rsid w:val="00FA4BBB"/>
    <w:rsid w:val="00FA517A"/>
    <w:rsid w:val="00FA57F3"/>
    <w:rsid w:val="00FA616E"/>
    <w:rsid w:val="00FB2201"/>
    <w:rsid w:val="00FB6D7A"/>
    <w:rsid w:val="00FC0B32"/>
    <w:rsid w:val="00FC1C1C"/>
    <w:rsid w:val="00FC1C1D"/>
    <w:rsid w:val="00FC3A5C"/>
    <w:rsid w:val="00FC3BDC"/>
    <w:rsid w:val="00FC3E76"/>
    <w:rsid w:val="00FC6C93"/>
    <w:rsid w:val="00FD068B"/>
    <w:rsid w:val="00FD0AC2"/>
    <w:rsid w:val="00FD0C73"/>
    <w:rsid w:val="00FD1BE0"/>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2940"/>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66423821">
      <w:bodyDiv w:val="1"/>
      <w:marLeft w:val="0"/>
      <w:marRight w:val="0"/>
      <w:marTop w:val="0"/>
      <w:marBottom w:val="0"/>
      <w:divBdr>
        <w:top w:val="none" w:sz="0" w:space="0" w:color="auto"/>
        <w:left w:val="none" w:sz="0" w:space="0" w:color="auto"/>
        <w:bottom w:val="none" w:sz="0" w:space="0" w:color="auto"/>
        <w:right w:val="none" w:sz="0" w:space="0" w:color="auto"/>
      </w:divBdr>
    </w:div>
    <w:div w:id="2892855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472795052">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671760402">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46044501">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868062729">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F01D1-023A-4E74-A644-0A7D895D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97</TotalTime>
  <Pages>9</Pages>
  <Words>3661</Words>
  <Characters>21972</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25582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asewastynowicz</cp:lastModifiedBy>
  <cp:revision>17</cp:revision>
  <cp:lastPrinted>2018-10-12T10:15:00Z</cp:lastPrinted>
  <dcterms:created xsi:type="dcterms:W3CDTF">2021-05-27T07:09:00Z</dcterms:created>
  <dcterms:modified xsi:type="dcterms:W3CDTF">2021-06-18T10:03:00Z</dcterms:modified>
</cp:coreProperties>
</file>