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6573EF" w:rsidRDefault="007673CD" w:rsidP="006573EF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6573EF">
        <w:rPr>
          <w:rFonts w:ascii="Bookman Old Style" w:hAnsi="Bookman Old Style"/>
          <w:sz w:val="24"/>
          <w:szCs w:val="24"/>
        </w:rPr>
        <w:t>W</w:t>
      </w:r>
      <w:r w:rsidR="00554AED">
        <w:rPr>
          <w:rFonts w:ascii="Bookman Old Style" w:hAnsi="Bookman Old Style"/>
          <w:sz w:val="24"/>
          <w:szCs w:val="24"/>
        </w:rPr>
        <w:t>CPiT</w:t>
      </w:r>
      <w:proofErr w:type="spellEnd"/>
      <w:r w:rsidR="00554AED">
        <w:rPr>
          <w:rFonts w:ascii="Bookman Old Style" w:hAnsi="Bookman Old Style"/>
          <w:sz w:val="24"/>
          <w:szCs w:val="24"/>
        </w:rPr>
        <w:t xml:space="preserve"> /EA/381- 12</w:t>
      </w:r>
      <w:r w:rsidRPr="006573EF">
        <w:rPr>
          <w:rFonts w:ascii="Bookman Old Style" w:hAnsi="Bookman Old Style"/>
          <w:sz w:val="24"/>
          <w:szCs w:val="24"/>
        </w:rPr>
        <w:t xml:space="preserve">/2021 </w:t>
      </w:r>
      <w:r w:rsidRPr="006573EF">
        <w:rPr>
          <w:rFonts w:ascii="Bookman Old Style" w:hAnsi="Bookman Old Style"/>
          <w:sz w:val="24"/>
          <w:szCs w:val="24"/>
        </w:rPr>
        <w:tab/>
      </w:r>
      <w:r w:rsidRPr="006573EF">
        <w:rPr>
          <w:rFonts w:ascii="Bookman Old Style" w:hAnsi="Bookman Old Style"/>
          <w:sz w:val="24"/>
          <w:szCs w:val="24"/>
        </w:rPr>
        <w:tab/>
        <w:t xml:space="preserve">Poznań, </w:t>
      </w:r>
      <w:r w:rsidR="00554AED">
        <w:rPr>
          <w:rFonts w:ascii="Bookman Old Style" w:hAnsi="Bookman Old Style"/>
          <w:sz w:val="24"/>
          <w:szCs w:val="24"/>
        </w:rPr>
        <w:t>06.07</w:t>
      </w:r>
      <w:r w:rsidR="006573EF" w:rsidRPr="006573EF">
        <w:rPr>
          <w:rFonts w:ascii="Bookman Old Style" w:hAnsi="Bookman Old Style"/>
          <w:sz w:val="24"/>
          <w:szCs w:val="24"/>
        </w:rPr>
        <w:t xml:space="preserve">.2021 </w:t>
      </w:r>
      <w:proofErr w:type="spellStart"/>
      <w:r w:rsidR="006573EF" w:rsidRPr="006573EF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Default="007673CD" w:rsidP="006573EF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573EF">
        <w:rPr>
          <w:rFonts w:ascii="Bookman Old Style" w:hAnsi="Bookman Old Style"/>
          <w:sz w:val="24"/>
          <w:szCs w:val="24"/>
        </w:rPr>
        <w:tab/>
      </w:r>
      <w:r w:rsidRPr="006573EF">
        <w:rPr>
          <w:rFonts w:ascii="Bookman Old Style" w:hAnsi="Bookman Old Style"/>
          <w:sz w:val="24"/>
          <w:szCs w:val="24"/>
        </w:rPr>
        <w:tab/>
      </w:r>
    </w:p>
    <w:p w:rsidR="006573EF" w:rsidRPr="006573EF" w:rsidRDefault="006573EF" w:rsidP="006573EF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Default="007673CD" w:rsidP="006573EF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6573EF">
        <w:rPr>
          <w:rFonts w:ascii="Bookman Old Style" w:hAnsi="Bookman Old Style"/>
          <w:sz w:val="24"/>
          <w:szCs w:val="24"/>
        </w:rPr>
        <w:t>Uczestnicy postępowania</w:t>
      </w:r>
    </w:p>
    <w:p w:rsidR="0086019C" w:rsidRDefault="0086019C" w:rsidP="006573EF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E5760F" w:rsidRPr="000F4CBE" w:rsidRDefault="00E5760F" w:rsidP="006573EF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86019C" w:rsidRPr="000F4CBE" w:rsidRDefault="0086019C" w:rsidP="0086019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</w:rPr>
      </w:pPr>
      <w:r w:rsidRPr="000F4CBE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 xml:space="preserve">Dotyczy: </w:t>
      </w:r>
      <w:r w:rsidR="000F4CBE" w:rsidRPr="000F4CBE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postępowania o zamówienie publiczne w trybie podstawowym</w:t>
      </w:r>
      <w:r w:rsidR="000F4CBE" w:rsidRPr="000F4CBE">
        <w:rPr>
          <w:rFonts w:ascii="Bookman Old Style" w:hAnsi="Bookman Old Style"/>
          <w:b/>
          <w:sz w:val="24"/>
          <w:szCs w:val="24"/>
        </w:rPr>
        <w:t xml:space="preserve">, o którym mowa w art. 275 pkt. 1 ustawy Prawo Zamówień Publicznych </w:t>
      </w:r>
      <w:r w:rsidRPr="000F4CBE">
        <w:rPr>
          <w:rFonts w:ascii="Bookman Old Style" w:hAnsi="Bookman Old Style" w:cstheme="minorHAnsi"/>
          <w:b/>
          <w:color w:val="000000" w:themeColor="text1"/>
          <w:sz w:val="24"/>
          <w:szCs w:val="24"/>
          <w:lang w:eastAsia="pl-PL"/>
        </w:rPr>
        <w:t xml:space="preserve">na </w:t>
      </w:r>
      <w:r w:rsidRPr="000F4CBE"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  <w:t xml:space="preserve">dostawę </w:t>
      </w:r>
      <w:r w:rsidRPr="000F4CBE">
        <w:rPr>
          <w:rFonts w:ascii="Bookman Old Style" w:hAnsi="Bookman Old Style"/>
          <w:b/>
          <w:color w:val="000000" w:themeColor="text1"/>
          <w:sz w:val="24"/>
          <w:szCs w:val="24"/>
        </w:rPr>
        <w:t>trzech komór hiperbarycznych</w:t>
      </w:r>
    </w:p>
    <w:p w:rsidR="006573EF" w:rsidRDefault="006573EF" w:rsidP="006573EF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D00110" w:rsidRPr="006573EF" w:rsidRDefault="007673CD" w:rsidP="006573EF">
      <w:pPr>
        <w:spacing w:after="0" w:line="360" w:lineRule="auto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6573EF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Pr="006573EF">
        <w:rPr>
          <w:rFonts w:ascii="Bookman Old Style" w:hAnsi="Bookman Old Style" w:cstheme="minorHAnsi"/>
          <w:sz w:val="24"/>
          <w:szCs w:val="24"/>
          <w:lang w:eastAsia="pl-PL"/>
        </w:rPr>
        <w:t>11 września 2019</w:t>
      </w:r>
      <w:r w:rsidR="006573EF">
        <w:rPr>
          <w:rFonts w:ascii="Bookman Old Style" w:hAnsi="Bookman Old Style" w:cstheme="minorHAnsi"/>
          <w:sz w:val="24"/>
          <w:szCs w:val="24"/>
          <w:lang w:eastAsia="pl-PL"/>
        </w:rPr>
        <w:t xml:space="preserve"> </w:t>
      </w:r>
      <w:r w:rsidRPr="006573EF">
        <w:rPr>
          <w:rFonts w:ascii="Bookman Old Style" w:hAnsi="Bookman Old Style" w:cstheme="minorHAnsi"/>
          <w:sz w:val="24"/>
          <w:szCs w:val="24"/>
          <w:lang w:eastAsia="pl-PL"/>
        </w:rPr>
        <w:t>r</w:t>
      </w:r>
      <w:r w:rsidR="00D00110" w:rsidRPr="006573EF">
        <w:rPr>
          <w:rFonts w:ascii="Bookman Old Style" w:hAnsi="Bookman Old Style"/>
          <w:sz w:val="24"/>
          <w:szCs w:val="24"/>
        </w:rPr>
        <w:t xml:space="preserve">. </w:t>
      </w:r>
      <w:r w:rsidR="006573EF" w:rsidRPr="006573EF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6573EF" w:rsidRPr="006573EF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6573EF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</w:t>
      </w:r>
      <w:r w:rsidR="00D00110" w:rsidRPr="006573EF">
        <w:rPr>
          <w:rFonts w:ascii="Bookman Old Style" w:hAnsi="Bookman Old Style"/>
          <w:sz w:val="24"/>
          <w:szCs w:val="24"/>
        </w:rPr>
        <w:t xml:space="preserve">kacji Warunków Zamówienia oraz </w:t>
      </w:r>
      <w:r w:rsidR="00D00110" w:rsidRPr="006573EF">
        <w:rPr>
          <w:rFonts w:ascii="Bookman Old Style" w:hAnsi="Bookman Old Style" w:cstheme="minorHAnsi"/>
          <w:sz w:val="24"/>
          <w:szCs w:val="24"/>
        </w:rPr>
        <w:t xml:space="preserve">zgodnie z art. 286 ust 1 ustawy Prawo Zamówień Publicznych z dnia </w:t>
      </w:r>
      <w:r w:rsidR="00D00110" w:rsidRPr="006573EF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="00D00110" w:rsidRPr="006573EF">
        <w:rPr>
          <w:rFonts w:ascii="Bookman Old Style" w:hAnsi="Bookman Old Style" w:cstheme="minorHAnsi"/>
          <w:sz w:val="24"/>
          <w:szCs w:val="24"/>
        </w:rPr>
        <w:t xml:space="preserve">. </w:t>
      </w:r>
      <w:r w:rsidR="00D00110" w:rsidRPr="006573EF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D00110" w:rsidRPr="006573EF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="00D00110" w:rsidRPr="006573EF">
        <w:rPr>
          <w:rFonts w:ascii="Bookman Old Style" w:hAnsi="Bookman Old Style" w:cstheme="minorHAnsi"/>
          <w:sz w:val="24"/>
          <w:szCs w:val="24"/>
        </w:rPr>
        <w:t>zmienia treść SWZ</w:t>
      </w:r>
      <w:r w:rsidR="007A25E0">
        <w:rPr>
          <w:rFonts w:ascii="Bookman Old Style" w:hAnsi="Bookman Old Style" w:cstheme="minorHAnsi"/>
          <w:sz w:val="24"/>
          <w:szCs w:val="24"/>
        </w:rPr>
        <w:t>.</w:t>
      </w:r>
    </w:p>
    <w:p w:rsidR="0064684C" w:rsidRPr="008733D4" w:rsidRDefault="0064684C" w:rsidP="0064684C"/>
    <w:p w:rsidR="0064684C" w:rsidRDefault="0064684C" w:rsidP="0064684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5760F">
        <w:rPr>
          <w:rFonts w:ascii="Bookman Old Style" w:hAnsi="Bookman Old Style"/>
          <w:b/>
          <w:sz w:val="24"/>
          <w:szCs w:val="24"/>
        </w:rPr>
        <w:t>ZESTAW I</w:t>
      </w:r>
    </w:p>
    <w:p w:rsidR="00E5760F" w:rsidRPr="00E5760F" w:rsidRDefault="00E5760F" w:rsidP="0064684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4684C" w:rsidRPr="006F4CAA" w:rsidRDefault="0064684C" w:rsidP="0064684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rPr>
          <w:rFonts w:ascii="Bookman Old Style" w:hAnsi="Bookman Old Style" w:cs="Arial"/>
          <w:b w:val="0"/>
          <w:spacing w:val="5"/>
          <w:sz w:val="24"/>
          <w:szCs w:val="24"/>
        </w:rPr>
      </w:pPr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Pyt 1. Dot. SIWZ  </w:t>
      </w:r>
      <w:bookmarkStart w:id="1" w:name="_Toc64559019"/>
      <w:r w:rsidRPr="006F4CAA">
        <w:rPr>
          <w:rFonts w:ascii="Bookman Old Style" w:hAnsi="Bookman Old Style" w:cs="Arial"/>
          <w:b w:val="0"/>
          <w:spacing w:val="5"/>
          <w:sz w:val="24"/>
          <w:szCs w:val="24"/>
        </w:rPr>
        <w:t>Opis przedmiotu zamówienia</w:t>
      </w:r>
      <w:bookmarkEnd w:id="1"/>
      <w:r w:rsidRPr="006F4CAA">
        <w:rPr>
          <w:rFonts w:ascii="Bookman Old Style" w:hAnsi="Bookman Old Style" w:cs="Arial"/>
          <w:b w:val="0"/>
          <w:spacing w:val="5"/>
          <w:sz w:val="24"/>
          <w:szCs w:val="24"/>
        </w:rPr>
        <w:t xml:space="preserve"> </w:t>
      </w:r>
      <w:proofErr w:type="spellStart"/>
      <w:r w:rsidRPr="006F4CAA">
        <w:rPr>
          <w:rFonts w:ascii="Bookman Old Style" w:hAnsi="Bookman Old Style" w:cs="Arial"/>
          <w:b w:val="0"/>
          <w:spacing w:val="5"/>
          <w:sz w:val="24"/>
          <w:szCs w:val="24"/>
        </w:rPr>
        <w:t>ppkt</w:t>
      </w:r>
      <w:proofErr w:type="spellEnd"/>
      <w:r w:rsidRPr="006F4CAA">
        <w:rPr>
          <w:rFonts w:ascii="Bookman Old Style" w:hAnsi="Bookman Old Style" w:cs="Arial"/>
          <w:b w:val="0"/>
          <w:spacing w:val="5"/>
          <w:sz w:val="24"/>
          <w:szCs w:val="24"/>
        </w:rPr>
        <w:t>. 4:</w:t>
      </w:r>
    </w:p>
    <w:p w:rsidR="0064684C" w:rsidRPr="006F4CAA" w:rsidRDefault="0064684C" w:rsidP="0064684C">
      <w:pPr>
        <w:widowControl w:val="0"/>
        <w:suppressAutoHyphens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pacing w:val="-2"/>
          <w:sz w:val="24"/>
          <w:szCs w:val="24"/>
        </w:rPr>
        <w:t xml:space="preserve">„ </w:t>
      </w:r>
      <w:r w:rsidRPr="006F4CAA">
        <w:rPr>
          <w:rFonts w:ascii="Bookman Old Style" w:hAnsi="Bookman Old Style" w:cs="Arial"/>
          <w:sz w:val="24"/>
          <w:szCs w:val="24"/>
        </w:rPr>
        <w:t xml:space="preserve">Zamawiający opisując przedmiot zamówienia na podstawie art. 99 ust. 3 ustawy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Pr="006F4CAA">
        <w:rPr>
          <w:rFonts w:ascii="Bookman Old Style" w:hAnsi="Bookman Old Style" w:cs="Arial"/>
          <w:sz w:val="24"/>
          <w:szCs w:val="24"/>
        </w:rPr>
        <w:t>., posłużył się następującym kodem oraz nazwą określoną we Wspólnym Słowniku Zamówień (CPV):</w:t>
      </w:r>
      <w:r w:rsidRPr="006F4CAA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6F4CAA">
        <w:rPr>
          <w:rFonts w:ascii="Bookman Old Style" w:hAnsi="Bookman Old Style" w:cs="Arial"/>
          <w:sz w:val="24"/>
          <w:szCs w:val="24"/>
        </w:rPr>
        <w:t>33157500-0 – komory hiperbaryczne, 33157400-9 - Medyczna aparatura oddechowa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  <w:r w:rsidRPr="006F4CAA">
        <w:rPr>
          <w:rFonts w:ascii="Bookman Old Style" w:hAnsi="Bookman Old Style" w:cs="Arial"/>
          <w:spacing w:val="-2"/>
          <w:sz w:val="24"/>
          <w:szCs w:val="24"/>
        </w:rPr>
        <w:t xml:space="preserve">Zgodnie z powyższym rozumiemy, że Zamawiający wymaga aby oferowane komory hiperbaryczne były zarejestrowanymi produktami medycznymi zgodnie z obowiązującymi ustawami oraz posiadały certyfikat CE zgodnie z </w:t>
      </w:r>
      <w:r w:rsidRPr="006F4CAA">
        <w:rPr>
          <w:rFonts w:ascii="Bookman Old Style" w:hAnsi="Bookman Old Style" w:cs="Arial"/>
          <w:spacing w:val="-2"/>
          <w:sz w:val="24"/>
          <w:szCs w:val="24"/>
        </w:rPr>
        <w:lastRenderedPageBreak/>
        <w:t>dyrektywą dla urządzeń medycznych MDD? Certyfikaty należy załączyć do oferty?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  <w:r>
        <w:rPr>
          <w:rFonts w:ascii="Bookman Old Style" w:hAnsi="Bookman Old Style" w:cs="Arial"/>
          <w:spacing w:val="-2"/>
          <w:sz w:val="24"/>
          <w:szCs w:val="24"/>
        </w:rPr>
        <w:t>Odp.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  <w:r w:rsidRPr="006F4CAA">
        <w:rPr>
          <w:rFonts w:ascii="Bookman Old Style" w:hAnsi="Bookman Old Style" w:cs="Arial"/>
          <w:spacing w:val="-2"/>
          <w:sz w:val="24"/>
          <w:szCs w:val="24"/>
        </w:rPr>
        <w:t>Zamawiający wymaga aby oferowane komory hiperbaryczne były zarejestrowanymi produktami medycznymi zgodnie z obowiązującymi ustawami oraz posiadały certyfikat CE zgodnie z dyrektywą dla urządzeń medycznych MDD</w:t>
      </w:r>
      <w:r>
        <w:rPr>
          <w:rFonts w:ascii="Bookman Old Style" w:hAnsi="Bookman Old Style" w:cs="Arial"/>
          <w:spacing w:val="-2"/>
          <w:sz w:val="24"/>
          <w:szCs w:val="24"/>
        </w:rPr>
        <w:t xml:space="preserve">. 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  <w:r>
        <w:rPr>
          <w:rFonts w:ascii="Bookman Old Style" w:hAnsi="Bookman Old Style" w:cs="Arial"/>
          <w:spacing w:val="-2"/>
          <w:sz w:val="24"/>
          <w:szCs w:val="24"/>
        </w:rPr>
        <w:t>Wykonawca musi przedstawić ww. certyfikat na etapie realizacji umowy.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</w:p>
    <w:p w:rsidR="0064684C" w:rsidRPr="006F4CAA" w:rsidRDefault="0064684C" w:rsidP="00646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360" w:lineRule="auto"/>
        <w:rPr>
          <w:rFonts w:ascii="Bookman Old Style" w:hAnsi="Bookman Old Style" w:cs="Arial"/>
          <w:color w:val="FFFFFF" w:themeColor="background1"/>
          <w:spacing w:val="-2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 xml:space="preserve">Pyt 2. Dot. SIWZ Opis przedmiotu zamówienia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ppkt</w:t>
      </w:r>
      <w:proofErr w:type="spellEnd"/>
      <w:r w:rsidRPr="006F4CAA">
        <w:rPr>
          <w:rFonts w:ascii="Bookman Old Style" w:hAnsi="Bookman Old Style" w:cs="Arial"/>
          <w:sz w:val="24"/>
          <w:szCs w:val="24"/>
        </w:rPr>
        <w:t>. 4:</w:t>
      </w:r>
    </w:p>
    <w:p w:rsidR="0064684C" w:rsidRPr="006F4CAA" w:rsidRDefault="0064684C" w:rsidP="006468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 xml:space="preserve">,,Zamawiający opisując przedmiot zamówienia na podstawie art. 99 ust. 3 ustawy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Pr="006F4CAA">
        <w:rPr>
          <w:rFonts w:ascii="Bookman Old Style" w:hAnsi="Bookman Old Style" w:cs="Arial"/>
          <w:sz w:val="24"/>
          <w:szCs w:val="24"/>
        </w:rPr>
        <w:t xml:space="preserve"> , posłużył się</w:t>
      </w:r>
    </w:p>
    <w:p w:rsidR="0064684C" w:rsidRPr="006F4CAA" w:rsidRDefault="0064684C" w:rsidP="006468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>następującym kodem oraz nazwą określoną we Wspólnym Słowniku Zamówień (CPV): 33157500-0 -</w:t>
      </w:r>
    </w:p>
    <w:p w:rsidR="0064684C" w:rsidRPr="006F4CAA" w:rsidRDefault="0064684C" w:rsidP="006468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>komory hiperbaryczne, 33157400-9 - Medyczna aparatura oddechowa</w:t>
      </w:r>
    </w:p>
    <w:p w:rsidR="0064684C" w:rsidRPr="006F4CAA" w:rsidRDefault="0064684C" w:rsidP="006468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 xml:space="preserve">Rozumiemy, że zgodnie z powyższym i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SlWZ</w:t>
      </w:r>
      <w:proofErr w:type="spellEnd"/>
      <w:r w:rsidRPr="006F4CAA">
        <w:rPr>
          <w:rFonts w:ascii="Bookman Old Style" w:hAnsi="Bookman Old Style" w:cs="Arial"/>
          <w:sz w:val="24"/>
          <w:szCs w:val="24"/>
        </w:rPr>
        <w:t>, Zamawiający wymaga potwierdzenia zarejestrowania</w:t>
      </w:r>
    </w:p>
    <w:p w:rsidR="0064684C" w:rsidRDefault="0064684C" w:rsidP="006468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>(zgłoszenia)oferowanej komory hiperbarycznej do Urzędu Rejestracji Produktów Leczniczych,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F4CAA">
        <w:rPr>
          <w:rFonts w:ascii="Bookman Old Style" w:hAnsi="Bookman Old Style" w:cs="Arial"/>
          <w:sz w:val="24"/>
          <w:szCs w:val="24"/>
        </w:rPr>
        <w:t xml:space="preserve">Wyrobów Medycznych i Produktów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Biobójczych</w:t>
      </w:r>
      <w:proofErr w:type="spellEnd"/>
      <w:r w:rsidRPr="006F4CAA">
        <w:rPr>
          <w:rFonts w:ascii="Bookman Old Style" w:hAnsi="Bookman Old Style" w:cs="Arial"/>
          <w:sz w:val="24"/>
          <w:szCs w:val="24"/>
        </w:rPr>
        <w:t xml:space="preserve"> oraz załączenie potwierdzenia do oferty?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Odp.</w:t>
      </w:r>
    </w:p>
    <w:p w:rsidR="0064684C" w:rsidRDefault="0064684C" w:rsidP="006468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>Zamawiający wymaga potwierdzenia zarejestrowania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F4CAA">
        <w:rPr>
          <w:rFonts w:ascii="Bookman Old Style" w:hAnsi="Bookman Old Style" w:cs="Arial"/>
          <w:sz w:val="24"/>
          <w:szCs w:val="24"/>
        </w:rPr>
        <w:t>(zgłoszenia)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F4CAA">
        <w:rPr>
          <w:rFonts w:ascii="Bookman Old Style" w:hAnsi="Bookman Old Style" w:cs="Arial"/>
          <w:sz w:val="24"/>
          <w:szCs w:val="24"/>
        </w:rPr>
        <w:t>oferowanej komory hiperbarycznej do Urzędu Rejestracji Produktów Leczniczych,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F4CAA">
        <w:rPr>
          <w:rFonts w:ascii="Bookman Old Style" w:hAnsi="Bookman Old Style" w:cs="Arial"/>
          <w:sz w:val="24"/>
          <w:szCs w:val="24"/>
        </w:rPr>
        <w:t xml:space="preserve">Wyrobów Medycznych i Produktów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Biobójczych</w:t>
      </w:r>
      <w:proofErr w:type="spellEnd"/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Potwierdzenie rejestracji będzie wymagane na etapie realizacji zamówienia.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</w:p>
    <w:p w:rsidR="0064684C" w:rsidRPr="006F4CAA" w:rsidRDefault="0064684C" w:rsidP="0064684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rPr>
          <w:rFonts w:ascii="Bookman Old Style" w:hAnsi="Bookman Old Style" w:cs="Arial"/>
          <w:b w:val="0"/>
          <w:spacing w:val="5"/>
          <w:sz w:val="24"/>
          <w:szCs w:val="24"/>
        </w:rPr>
      </w:pPr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lastRenderedPageBreak/>
        <w:t>Pyt 3. Dot.</w:t>
      </w:r>
      <w:r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 Załą</w:t>
      </w:r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cznik nr 1 - </w:t>
      </w:r>
      <w:proofErr w:type="spellStart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>opz</w:t>
      </w:r>
      <w:proofErr w:type="spellEnd"/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  <w:r w:rsidRPr="006F4CAA">
        <w:rPr>
          <w:rFonts w:ascii="Bookman Old Style" w:hAnsi="Bookman Old Style" w:cs="Arial"/>
          <w:spacing w:val="-2"/>
          <w:sz w:val="24"/>
          <w:szCs w:val="24"/>
        </w:rPr>
        <w:t xml:space="preserve">Zgodnie z prawem związanym z publicznymi placówkami zdrowia i odpowiednimi rozporządzeniami Ministra Zdrowia w celu prowadzenia działalności zdrowotnej podmiot lecznicy powinien korzystać z urządzeń medycznych w procedurach, w z związku z powyższym: </w:t>
      </w:r>
    </w:p>
    <w:p w:rsidR="0064684C" w:rsidRPr="006F4CAA" w:rsidRDefault="0064684C" w:rsidP="0064684C">
      <w:pPr>
        <w:spacing w:after="0"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  <w:r w:rsidRPr="006F4CAA">
        <w:rPr>
          <w:rFonts w:ascii="Bookman Old Style" w:hAnsi="Bookman Old Style" w:cs="Arial"/>
          <w:color w:val="000000"/>
          <w:sz w:val="24"/>
          <w:szCs w:val="24"/>
        </w:rPr>
        <w:t>Związku z powyższym rozumiemy, że Zamawiający wymaga aby komora hiperbaryczna jako urządzenie do leczenia i wspomagania była zgodna z obowiązującymi zharmonizowanymi normami dla Dyrektywy 93/42/EWG opublikowanymi w Monitorze Polskim według Dziennika Urzędowego UE (2017/C 389/03) z 17.11.2017 oraz załączenie odpowiednich certyfikatów do oferty potwierdzających spełnienie powyższych wymagań?</w:t>
      </w:r>
    </w:p>
    <w:p w:rsidR="0064684C" w:rsidRPr="006F4CAA" w:rsidRDefault="0064684C" w:rsidP="0064684C">
      <w:pPr>
        <w:tabs>
          <w:tab w:val="left" w:pos="284"/>
        </w:tabs>
        <w:autoSpaceDE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bCs/>
          <w:color w:val="000000"/>
          <w:sz w:val="24"/>
          <w:szCs w:val="24"/>
          <w:u w:val="single"/>
        </w:rPr>
        <w:t xml:space="preserve">Komora hiperbaryczna jako urządzenie przeznaczone do leczenia w publicznych jednostkach służby zdrowia - </w:t>
      </w:r>
      <w:r w:rsidRPr="006F4CAA">
        <w:rPr>
          <w:rFonts w:ascii="Bookman Old Style" w:hAnsi="Bookman Old Style" w:cs="Arial"/>
          <w:bCs/>
          <w:color w:val="000000"/>
          <w:sz w:val="24"/>
          <w:szCs w:val="24"/>
        </w:rPr>
        <w:t xml:space="preserve"> </w:t>
      </w: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musi  spełniać wymagania  określone w :  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Ustawie z dnia 20 maja 2010r. o wyrobach medycznych </w:t>
      </w:r>
      <w:r w:rsidRPr="006F4CAA">
        <w:rPr>
          <w:rStyle w:val="Domylnaczcionkaakapitu1"/>
          <w:rFonts w:ascii="Bookman Old Style" w:hAnsi="Bookman Old Style" w:cs="Arial"/>
          <w:color w:val="000000"/>
          <w:sz w:val="24"/>
          <w:szCs w:val="24"/>
        </w:rPr>
        <w:t>(Dz. U. 2019 poz. 175)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Rozporządzeniu Ministra Zdrowia z dnia 5 listopada 2010r w sprawie sposobu klasyfikowania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</w:rPr>
        <w:t>wyrob</w:t>
      </w:r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ów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medycznych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 ( Dz. U. z 2010r.  Nr 215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poz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. 1416)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  <w:lang w:val="en-US"/>
        </w:rPr>
      </w:pP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Rozporządzeniu Ministra Zdrowia z dnia 17 lutego 2016r w sprawie wymagań zasadniczych oraz procedur oceny zgodności 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</w:rPr>
        <w:t>wyrob</w:t>
      </w:r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ów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medycznych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 (Dz. U. 2016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poz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. 211)</w:t>
      </w:r>
    </w:p>
    <w:p w:rsidR="0064684C" w:rsidRPr="00E5760F" w:rsidRDefault="0064684C" w:rsidP="0064684C">
      <w:pPr>
        <w:pStyle w:val="Tekstpodstawowy"/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rFonts w:ascii="Bookman Old Style" w:hAnsi="Bookman Old Style" w:cs="Arial"/>
          <w:b w:val="0"/>
          <w:color w:val="000000"/>
          <w:szCs w:val="24"/>
        </w:rPr>
      </w:pP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Rozporządzenie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Ministra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Zdrowia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z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dnia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17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lutego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2016 r. w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sprawie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sposobu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dokonywania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zgłoszeń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i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powiadomień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dotyczących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wyrobów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 xml:space="preserve"> (Dz. U. z 2016 r. </w:t>
      </w:r>
      <w:proofErr w:type="spellStart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poz</w:t>
      </w:r>
      <w:proofErr w:type="spellEnd"/>
      <w:r w:rsidRPr="00E5760F">
        <w:rPr>
          <w:rFonts w:ascii="Bookman Old Style" w:hAnsi="Bookman Old Style" w:cs="Arial"/>
          <w:b w:val="0"/>
          <w:color w:val="000000"/>
          <w:szCs w:val="24"/>
          <w:lang w:val="en-US"/>
        </w:rPr>
        <w:t>. 210)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color w:val="000000"/>
          <w:sz w:val="24"/>
          <w:szCs w:val="24"/>
        </w:rPr>
        <w:t>Rozporządzeniu Ministra Zdrowia z dnia 22 września 2010r. w sprawie wzoru znaku CE ( Dz. U. 2010 Nr 186, poz. 1252)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</w:rPr>
        <w:lastRenderedPageBreak/>
        <w:t>Rozprzadzeniu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 Ministra Rozwoju i Finansów z dnia 21 grudnia 2016r w sprawie wymagań zasadniczych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</w:rPr>
        <w:t>dotyczacych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 ograniczenia s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tosowania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niektórych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niebezpiecznych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substancji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w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sprzęcie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elektrycznym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elektronicznym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(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Dz.U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. 2017 poz.7)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eastAsia="Microsoft YaHei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Dyrektywie 93/42/EWG z dnia 14 kwietnia 1993r - dotyczącej 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</w:rPr>
        <w:t>wyrob</w:t>
      </w:r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ów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>medycznych</w:t>
      </w:r>
      <w:proofErr w:type="spellEnd"/>
      <w:r w:rsidRPr="006F4CA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 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</w:pPr>
      <w:r w:rsidRPr="006F4CAA">
        <w:rPr>
          <w:rFonts w:ascii="Bookman Old Style" w:eastAsia="Microsoft YaHei" w:hAnsi="Bookman Old Style" w:cs="Arial"/>
          <w:color w:val="000000"/>
          <w:sz w:val="24"/>
          <w:szCs w:val="24"/>
        </w:rPr>
        <w:t xml:space="preserve">Dyrektywie 2007/47/EC z 21.09.2007 zmieniającej Dyrektywę 93/42/EWG z dnia 14 kwietnia 1993r - dotyczącej 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</w:rPr>
        <w:t>wyrob</w:t>
      </w:r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>ów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>medycznych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 xml:space="preserve"> 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>Dyrektywie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 xml:space="preserve"> 2014/68/EU z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>dnia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 xml:space="preserve"> 15maja 2014r </w:t>
      </w:r>
      <w:r w:rsidRPr="006F4CAA">
        <w:rPr>
          <w:rFonts w:ascii="Bookman Old Style" w:hAnsi="Bookman Old Style" w:cs="Arial"/>
          <w:sz w:val="24"/>
          <w:szCs w:val="24"/>
        </w:rPr>
        <w:t xml:space="preserve">w sprawie harmonizacji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ustawodawstw</w:t>
      </w:r>
      <w:proofErr w:type="spellEnd"/>
      <w:r w:rsidRPr="006F4CAA">
        <w:rPr>
          <w:rFonts w:ascii="Bookman Old Style" w:hAnsi="Bookman Old Style" w:cs="Arial"/>
          <w:sz w:val="24"/>
          <w:szCs w:val="24"/>
        </w:rPr>
        <w:t xml:space="preserve"> państw członkowskich odnoszących się do </w:t>
      </w:r>
      <w:proofErr w:type="spellStart"/>
      <w:r w:rsidRPr="006F4CAA">
        <w:rPr>
          <w:rFonts w:ascii="Bookman Old Style" w:hAnsi="Bookman Old Style" w:cs="Arial"/>
          <w:sz w:val="24"/>
          <w:szCs w:val="24"/>
        </w:rPr>
        <w:t>dostępniania</w:t>
      </w:r>
      <w:proofErr w:type="spellEnd"/>
      <w:r w:rsidRPr="006F4CAA">
        <w:rPr>
          <w:rFonts w:ascii="Bookman Old Style" w:hAnsi="Bookman Old Style" w:cs="Arial"/>
          <w:sz w:val="24"/>
          <w:szCs w:val="24"/>
        </w:rPr>
        <w:t xml:space="preserve"> na rynku urządzeń ciśnieniowych</w:t>
      </w:r>
    </w:p>
    <w:p w:rsidR="0064684C" w:rsidRPr="006F4CAA" w:rsidRDefault="0064684C" w:rsidP="0064684C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sz w:val="24"/>
          <w:szCs w:val="24"/>
        </w:rPr>
      </w:pP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Dyrektywie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Parlamentu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Europejskiego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Rady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2011/65/EU z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dnia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8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czerwca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2011r w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sprawie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ograniczenia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stosowania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niektórych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niebezpiecznych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substancji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w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sprzęcie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elektrycznym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elektronicznym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(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Dziennik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Urzędowy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Unii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>Europejskiej</w:t>
      </w:r>
      <w:proofErr w:type="spellEnd"/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shd w:val="clear" w:color="auto" w:fill="FFFFFF"/>
          <w:lang w:val="en-US"/>
        </w:rPr>
        <w:t xml:space="preserve"> 1.7.2011 )</w:t>
      </w:r>
      <w:r w:rsidRPr="006F4CAA">
        <w:rPr>
          <w:rFonts w:ascii="Bookman Old Style" w:eastAsia="Microsoft YaHei" w:hAnsi="Bookman Old Style" w:cs="Arial"/>
          <w:color w:val="000000"/>
          <w:sz w:val="24"/>
          <w:szCs w:val="24"/>
          <w:lang w:val="en-US"/>
        </w:rPr>
        <w:t xml:space="preserve"> </w:t>
      </w:r>
    </w:p>
    <w:p w:rsidR="0064684C" w:rsidRPr="006F4CAA" w:rsidRDefault="0064684C" w:rsidP="0064684C">
      <w:pPr>
        <w:tabs>
          <w:tab w:val="left" w:pos="284"/>
        </w:tabs>
        <w:autoSpaceDE w:val="0"/>
        <w:spacing w:after="0" w:line="360" w:lineRule="auto"/>
        <w:jc w:val="both"/>
        <w:rPr>
          <w:rFonts w:ascii="Bookman Old Style" w:hAnsi="Bookman Old Style" w:cs="Arial"/>
          <w:bCs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bCs/>
          <w:color w:val="000000"/>
          <w:sz w:val="24"/>
          <w:szCs w:val="24"/>
        </w:rPr>
        <w:t>Oraz w normach:</w:t>
      </w:r>
    </w:p>
    <w:p w:rsidR="0064684C" w:rsidRPr="006F4CAA" w:rsidRDefault="0064684C" w:rsidP="0064684C">
      <w:pPr>
        <w:numPr>
          <w:ilvl w:val="0"/>
          <w:numId w:val="30"/>
        </w:numPr>
        <w:suppressAutoHyphens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bCs/>
          <w:color w:val="000000"/>
          <w:sz w:val="24"/>
          <w:szCs w:val="24"/>
        </w:rPr>
        <w:t xml:space="preserve">PN EN ISO 13485:2016-04 – </w:t>
      </w: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Wyroby medyczne - Systemy zarządzania jakością - Wymagania do celów przepisów prawnych </w:t>
      </w:r>
    </w:p>
    <w:p w:rsidR="0064684C" w:rsidRPr="006F4CAA" w:rsidRDefault="0064684C" w:rsidP="0064684C">
      <w:pPr>
        <w:widowControl w:val="0"/>
        <w:numPr>
          <w:ilvl w:val="0"/>
          <w:numId w:val="30"/>
        </w:numPr>
        <w:suppressAutoHyphens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bCs/>
          <w:color w:val="000000"/>
          <w:sz w:val="24"/>
          <w:szCs w:val="24"/>
        </w:rPr>
        <w:t xml:space="preserve">PN-EN 60601-1:2011 </w:t>
      </w:r>
      <w:r w:rsidRPr="006F4CAA">
        <w:rPr>
          <w:rFonts w:ascii="Bookman Old Style" w:hAnsi="Bookman Old Style" w:cs="Arial"/>
          <w:color w:val="000000"/>
          <w:sz w:val="24"/>
          <w:szCs w:val="24"/>
        </w:rPr>
        <w:t>oraz</w:t>
      </w:r>
      <w:r w:rsidRPr="006F4CAA">
        <w:rPr>
          <w:rFonts w:ascii="Bookman Old Style" w:hAnsi="Bookman Old Style" w:cs="Arial"/>
          <w:bCs/>
          <w:color w:val="000000"/>
          <w:sz w:val="24"/>
          <w:szCs w:val="24"/>
        </w:rPr>
        <w:t xml:space="preserve"> PN-EN 60601-1:2011/A1:2014-02 </w:t>
      </w:r>
      <w:r w:rsidRPr="006F4CAA">
        <w:rPr>
          <w:rFonts w:ascii="Bookman Old Style" w:hAnsi="Bookman Old Style" w:cs="Arial"/>
          <w:color w:val="000000"/>
          <w:sz w:val="24"/>
          <w:szCs w:val="24"/>
        </w:rPr>
        <w:t>– Medyczne urządzenia elektryczne – Część 1 : Wymagania ogólne dotyczące bezpieczeństwa podstawowego oraz funkcjonowania zasadniczego</w:t>
      </w:r>
    </w:p>
    <w:p w:rsidR="0064684C" w:rsidRPr="006F4CAA" w:rsidRDefault="0064684C" w:rsidP="0064684C">
      <w:pPr>
        <w:widowControl w:val="0"/>
        <w:numPr>
          <w:ilvl w:val="0"/>
          <w:numId w:val="30"/>
        </w:numPr>
        <w:suppressAutoHyphens/>
        <w:autoSpaceDE w:val="0"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 xml:space="preserve">PN-EN 60601-1-6:2010 – </w:t>
      </w:r>
      <w:r w:rsidRPr="006F4CAA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Medyczne  urządzenia elektryczne – Część 1-6: Wymagania ogólne dotyczące bezpieczeństwa podstawowego oraz funkcjonowania zasadniczego -- Norma uzupełniająca:  Użyteczność</w:t>
      </w:r>
    </w:p>
    <w:p w:rsidR="0064684C" w:rsidRPr="006F4CAA" w:rsidRDefault="0064684C" w:rsidP="0064684C">
      <w:pPr>
        <w:widowControl w:val="0"/>
        <w:numPr>
          <w:ilvl w:val="0"/>
          <w:numId w:val="30"/>
        </w:numPr>
        <w:suppressAutoHyphens/>
        <w:spacing w:after="0" w:line="360" w:lineRule="auto"/>
        <w:ind w:left="42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F4CAA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>PN-EN 60601-1-8:2011</w:t>
      </w:r>
      <w:r w:rsidRPr="006F4CAA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oraz </w:t>
      </w:r>
      <w:r w:rsidRPr="006F4CAA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>PN-EN 60601-1-8:2011/A11:2017-05 –</w:t>
      </w:r>
      <w:r w:rsidRPr="006F4CAA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Medyczne  urządzenia elektryczne – Część 1-8: Wymagania ogólne dotyczące bezpieczeństwa podstawowego oraz funkcjonowania zasadniczego - Norma uzupełniająca:  Wymagania ogólne, badania i </w:t>
      </w:r>
      <w:r w:rsidRPr="006F4CAA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lastRenderedPageBreak/>
        <w:t>wytyczne dotyczące systemów alarmowych w medycznych urządzeniach elektrycznych i medycznych systemach elektrycznych</w:t>
      </w:r>
    </w:p>
    <w:p w:rsidR="0064684C" w:rsidRPr="006F4CAA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4684C" w:rsidRPr="006F4CAA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>Powyższe wymogi są minimalnymi wymogami stawianymi urządzeniom służącym do leczenia i terapii wykorzystywanych  w placówkach służby zdrowia. Nie spełnienie powyższych warunków może spowodować, że zakupiony sprzęt nie będzie mógł być używany (zgodnie z obowiązującym prawem) a tym samym wydatek na takie urządzenia byłby bezcelowy.</w:t>
      </w:r>
    </w:p>
    <w:p w:rsidR="0064684C" w:rsidRPr="006F4CAA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4684C" w:rsidRPr="000E4FE7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0E4FE7">
        <w:rPr>
          <w:rFonts w:ascii="Bookman Old Style" w:hAnsi="Bookman Old Style" w:cs="Arial"/>
          <w:sz w:val="24"/>
          <w:szCs w:val="24"/>
        </w:rPr>
        <w:t xml:space="preserve">Odp. 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K</w:t>
      </w: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omora hiperbaryczna jako urządzenie do leczenia i wspomagania 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musi być </w:t>
      </w:r>
      <w:r w:rsidRPr="006F4CAA">
        <w:rPr>
          <w:rFonts w:ascii="Bookman Old Style" w:hAnsi="Bookman Old Style" w:cs="Arial"/>
          <w:color w:val="000000"/>
          <w:sz w:val="24"/>
          <w:szCs w:val="24"/>
        </w:rPr>
        <w:t>zgodna z obowiązującymi zharmonizowanymi normami dla Dyrektywy 93/42/EWG opublikowanymi w Monitorze Polskim według Dziennika Urzędowego UE (2017/C 389/03) z 17.11.2017</w:t>
      </w:r>
      <w:r>
        <w:rPr>
          <w:rFonts w:ascii="Bookman Old Style" w:hAnsi="Bookman Old Style" w:cs="Arial"/>
          <w:color w:val="000000"/>
          <w:sz w:val="24"/>
          <w:szCs w:val="24"/>
        </w:rPr>
        <w:t>.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Zamawiający może żądać przedstawienia odpowiednich c</w:t>
      </w:r>
      <w:r w:rsidRPr="006F4CAA">
        <w:rPr>
          <w:rFonts w:ascii="Bookman Old Style" w:hAnsi="Bookman Old Style" w:cs="Arial"/>
          <w:color w:val="000000"/>
          <w:sz w:val="24"/>
          <w:szCs w:val="24"/>
        </w:rPr>
        <w:t xml:space="preserve">ertyfikatów </w:t>
      </w:r>
      <w:r>
        <w:rPr>
          <w:rFonts w:ascii="Bookman Old Style" w:hAnsi="Bookman Old Style" w:cs="Arial"/>
          <w:color w:val="000000"/>
          <w:sz w:val="24"/>
          <w:szCs w:val="24"/>
        </w:rPr>
        <w:t>na etapie realizacji zamówienia.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64684C" w:rsidRPr="00E5760F" w:rsidRDefault="0064684C" w:rsidP="0064684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5760F">
        <w:rPr>
          <w:rFonts w:ascii="Bookman Old Style" w:hAnsi="Bookman Old Style" w:cs="Arial"/>
          <w:sz w:val="24"/>
          <w:szCs w:val="24"/>
        </w:rPr>
        <w:t>ZESTAW II</w:t>
      </w:r>
    </w:p>
    <w:p w:rsidR="0064684C" w:rsidRPr="006F4CAA" w:rsidRDefault="0064684C" w:rsidP="0064684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64684C" w:rsidRPr="006F4CAA" w:rsidRDefault="0064684C" w:rsidP="0064684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rPr>
          <w:rFonts w:ascii="Bookman Old Style" w:hAnsi="Bookman Old Style" w:cs="Arial"/>
          <w:b w:val="0"/>
          <w:spacing w:val="5"/>
          <w:sz w:val="24"/>
          <w:szCs w:val="24"/>
        </w:rPr>
      </w:pPr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Pyt 1. Dot. Załącznik nr 1 – </w:t>
      </w:r>
      <w:proofErr w:type="spellStart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>opz</w:t>
      </w:r>
      <w:proofErr w:type="spellEnd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 pkt. 9 </w:t>
      </w:r>
      <w:r w:rsidRPr="006F4CAA">
        <w:rPr>
          <w:rFonts w:ascii="Bookman Old Style" w:hAnsi="Bookman Old Style"/>
          <w:b w:val="0"/>
          <w:sz w:val="24"/>
          <w:szCs w:val="24"/>
        </w:rPr>
        <w:t xml:space="preserve">Waga komory: </w:t>
      </w:r>
      <w:proofErr w:type="spellStart"/>
      <w:r w:rsidRPr="006F4CAA">
        <w:rPr>
          <w:rFonts w:ascii="Bookman Old Style" w:hAnsi="Bookman Old Style"/>
          <w:b w:val="0"/>
          <w:sz w:val="24"/>
          <w:szCs w:val="24"/>
        </w:rPr>
        <w:t>max</w:t>
      </w:r>
      <w:proofErr w:type="spellEnd"/>
      <w:r w:rsidRPr="006F4CAA">
        <w:rPr>
          <w:rFonts w:ascii="Bookman Old Style" w:hAnsi="Bookman Old Style"/>
          <w:b w:val="0"/>
          <w:sz w:val="24"/>
          <w:szCs w:val="24"/>
        </w:rPr>
        <w:t>. 200 kg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  <w:r w:rsidRPr="006F4CAA">
        <w:rPr>
          <w:rFonts w:ascii="Bookman Old Style" w:hAnsi="Bookman Old Style" w:cs="Arial"/>
          <w:bCs/>
          <w:sz w:val="24"/>
          <w:szCs w:val="24"/>
        </w:rPr>
        <w:t>Prosimy o doprecyzowanie zapisu. Rozumiemy, że zamawiający wymaga aby maksymalna waga komory wraz ze wszystkimi podzespołami nie przekraczała 200kg?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Odp. Zamawiający informuje, że waga komory hiperbarycznej wraz ze wszystkimi podzespołami nie może przekraczać 300 </w:t>
      </w:r>
      <w:proofErr w:type="spellStart"/>
      <w:r>
        <w:rPr>
          <w:rFonts w:ascii="Bookman Old Style" w:hAnsi="Bookman Old Style" w:cs="Arial"/>
          <w:bCs/>
          <w:sz w:val="24"/>
          <w:szCs w:val="24"/>
        </w:rPr>
        <w:t>kg</w:t>
      </w:r>
      <w:proofErr w:type="spellEnd"/>
      <w:r>
        <w:rPr>
          <w:rFonts w:ascii="Bookman Old Style" w:hAnsi="Bookman Old Style" w:cs="Arial"/>
          <w:bCs/>
          <w:sz w:val="24"/>
          <w:szCs w:val="24"/>
        </w:rPr>
        <w:t xml:space="preserve">. 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64684C" w:rsidRPr="006F4CAA" w:rsidRDefault="0064684C" w:rsidP="0064684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rPr>
          <w:rFonts w:ascii="Bookman Old Style" w:hAnsi="Bookman Old Style" w:cs="Arial"/>
          <w:b w:val="0"/>
          <w:spacing w:val="5"/>
          <w:sz w:val="24"/>
          <w:szCs w:val="24"/>
        </w:rPr>
      </w:pPr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lastRenderedPageBreak/>
        <w:t xml:space="preserve">Pyt 2. Dot. Załącznik nr 1 – </w:t>
      </w:r>
      <w:proofErr w:type="spellStart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>opz</w:t>
      </w:r>
      <w:proofErr w:type="spellEnd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 pkt. 11 </w:t>
      </w:r>
      <w:r w:rsidRPr="006F4CAA">
        <w:rPr>
          <w:rFonts w:ascii="Bookman Old Style" w:hAnsi="Bookman Old Style"/>
          <w:b w:val="0"/>
          <w:sz w:val="24"/>
          <w:szCs w:val="24"/>
        </w:rPr>
        <w:t>Ciśnienie operacyjne: min. 1, 6 ATA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pacing w:val="-2"/>
          <w:sz w:val="24"/>
          <w:szCs w:val="24"/>
        </w:rPr>
      </w:pPr>
    </w:p>
    <w:p w:rsidR="0064684C" w:rsidRPr="006F4CAA" w:rsidRDefault="0064684C" w:rsidP="0064684C">
      <w:pPr>
        <w:pStyle w:val="NormalnyWeb"/>
        <w:shd w:val="clear" w:color="auto" w:fill="FFFFFF"/>
        <w:spacing w:before="0" w:beforeAutospacing="0" w:after="0" w:line="360" w:lineRule="auto"/>
        <w:textAlignment w:val="baseline"/>
        <w:rPr>
          <w:rFonts w:ascii="Bookman Old Style" w:hAnsi="Bookman Old Style" w:cs="Arial"/>
          <w:color w:val="333333"/>
        </w:rPr>
      </w:pPr>
      <w:r w:rsidRPr="006F4CAA">
        <w:rPr>
          <w:rFonts w:ascii="Bookman Old Style" w:hAnsi="Bookman Old Style" w:cs="Arial"/>
          <w:spacing w:val="-2"/>
        </w:rPr>
        <w:t xml:space="preserve">W związku z powyższym wymaganiem, rozumiemy, że Zamawiający wymaga zgodności urządzenia z dyrektywą PED oraz zgodności z </w:t>
      </w:r>
      <w:r w:rsidRPr="006F4CAA">
        <w:rPr>
          <w:rFonts w:ascii="Bookman Old Style" w:hAnsi="Bookman Old Style" w:cs="Arial"/>
          <w:color w:val="333333"/>
          <w:bdr w:val="none" w:sz="0" w:space="0" w:color="auto" w:frame="1"/>
        </w:rPr>
        <w:t>Ustawą z dnia 21.12.2000 r. o dozorze technicznym </w:t>
      </w:r>
      <w:hyperlink r:id="rId8" w:history="1">
        <w:r w:rsidRPr="006F4CAA">
          <w:rPr>
            <w:rStyle w:val="Pogrubienie"/>
            <w:rFonts w:ascii="Bookman Old Style" w:hAnsi="Bookman Old Style" w:cs="Arial"/>
            <w:b w:val="0"/>
            <w:color w:val="337AB7"/>
            <w:bdr w:val="none" w:sz="0" w:space="0" w:color="auto" w:frame="1"/>
          </w:rPr>
          <w:t>(Dz. U. Nr 122 poz. 1321)</w:t>
        </w:r>
      </w:hyperlink>
      <w:r w:rsidRPr="006F4CAA">
        <w:rPr>
          <w:rFonts w:ascii="Bookman Old Style" w:hAnsi="Bookman Old Style" w:cs="Arial"/>
          <w:color w:val="333333"/>
          <w:bdr w:val="none" w:sz="0" w:space="0" w:color="auto" w:frame="1"/>
        </w:rPr>
        <w:t> z późniejszymi zmianami.</w:t>
      </w:r>
    </w:p>
    <w:p w:rsidR="0064684C" w:rsidRPr="006F4CAA" w:rsidRDefault="0064684C" w:rsidP="0064684C">
      <w:pPr>
        <w:pStyle w:val="NormalnyWeb"/>
        <w:shd w:val="clear" w:color="auto" w:fill="FFFFFF"/>
        <w:spacing w:before="0" w:beforeAutospacing="0" w:after="0" w:line="360" w:lineRule="auto"/>
        <w:textAlignment w:val="baseline"/>
        <w:rPr>
          <w:rStyle w:val="Pogrubienie"/>
          <w:rFonts w:ascii="Bookman Old Style" w:hAnsi="Bookman Old Style" w:cs="Arial"/>
          <w:b w:val="0"/>
          <w:bCs w:val="0"/>
          <w:color w:val="333333"/>
        </w:rPr>
      </w:pPr>
      <w:r w:rsidRPr="006F4CAA">
        <w:rPr>
          <w:rFonts w:ascii="Bookman Old Style" w:hAnsi="Bookman Old Style" w:cs="Arial"/>
          <w:color w:val="333333"/>
          <w:bdr w:val="none" w:sz="0" w:space="0" w:color="auto" w:frame="1"/>
        </w:rPr>
        <w:t>Rozporządzenie Rady Ministrów z dnia 7 grudnia 2012 r. w sprawie </w:t>
      </w:r>
      <w:r w:rsidRPr="006F4CAA">
        <w:rPr>
          <w:rStyle w:val="Pogrubienie"/>
          <w:rFonts w:ascii="Bookman Old Style" w:hAnsi="Bookman Old Style" w:cs="Arial"/>
          <w:b w:val="0"/>
          <w:color w:val="333333"/>
          <w:bdr w:val="none" w:sz="0" w:space="0" w:color="auto" w:frame="1"/>
        </w:rPr>
        <w:t>rodzajów urządzeń technicznych podlegających dozorowi technicznemu </w:t>
      </w:r>
      <w:hyperlink r:id="rId9" w:history="1">
        <w:r w:rsidRPr="006F4CAA">
          <w:rPr>
            <w:rStyle w:val="Pogrubienie"/>
            <w:rFonts w:ascii="Bookman Old Style" w:hAnsi="Bookman Old Style" w:cs="Arial"/>
            <w:b w:val="0"/>
            <w:color w:val="337AB7"/>
            <w:bdr w:val="none" w:sz="0" w:space="0" w:color="auto" w:frame="1"/>
          </w:rPr>
          <w:t>(</w:t>
        </w:r>
        <w:proofErr w:type="spellStart"/>
        <w:r w:rsidRPr="006F4CAA">
          <w:rPr>
            <w:rStyle w:val="Pogrubienie"/>
            <w:rFonts w:ascii="Bookman Old Style" w:hAnsi="Bookman Old Style" w:cs="Arial"/>
            <w:b w:val="0"/>
            <w:color w:val="337AB7"/>
            <w:bdr w:val="none" w:sz="0" w:space="0" w:color="auto" w:frame="1"/>
          </w:rPr>
          <w:t>Dz.U</w:t>
        </w:r>
        <w:proofErr w:type="spellEnd"/>
        <w:r w:rsidRPr="006F4CAA">
          <w:rPr>
            <w:rStyle w:val="Pogrubienie"/>
            <w:rFonts w:ascii="Bookman Old Style" w:hAnsi="Bookman Old Style" w:cs="Arial"/>
            <w:b w:val="0"/>
            <w:color w:val="337AB7"/>
            <w:bdr w:val="none" w:sz="0" w:space="0" w:color="auto" w:frame="1"/>
          </w:rPr>
          <w:t>. 2012 nr 0 poz. 1468)</w:t>
        </w:r>
      </w:hyperlink>
      <w:r w:rsidRPr="006F4CAA">
        <w:rPr>
          <w:rFonts w:ascii="Bookman Old Style" w:hAnsi="Bookman Old Style" w:cs="Arial"/>
          <w:color w:val="333333"/>
          <w:bdr w:val="none" w:sz="0" w:space="0" w:color="auto" w:frame="1"/>
        </w:rPr>
        <w:t>, wydane na podstawie art. 5 ust. 2 ustawy o dozorze technicznym.</w:t>
      </w:r>
      <w:r w:rsidRPr="006F4CAA">
        <w:rPr>
          <w:rFonts w:ascii="Bookman Old Style" w:hAnsi="Bookman Old Style" w:cs="Arial"/>
          <w:color w:val="333333"/>
        </w:rPr>
        <w:t xml:space="preserve"> </w:t>
      </w:r>
      <w:r w:rsidRPr="006F4CAA">
        <w:rPr>
          <w:rFonts w:ascii="Bookman Old Style" w:hAnsi="Bookman Old Style" w:cs="Arial"/>
          <w:color w:val="333333"/>
          <w:bdr w:val="none" w:sz="0" w:space="0" w:color="auto" w:frame="1"/>
        </w:rPr>
        <w:t>Rozporządzenie Ministra Gospodarki Pracy i Polityki Społecznej z dnia 9 lipca 2003 roku w sprawie warunków technicznych dozoru technicznego w zakresie eksploatacji niektórych urządzeń ciśnieniowych </w:t>
      </w:r>
      <w:hyperlink r:id="rId10" w:history="1">
        <w:r w:rsidRPr="006F4CAA">
          <w:rPr>
            <w:rStyle w:val="Pogrubienie"/>
            <w:rFonts w:ascii="Bookman Old Style" w:hAnsi="Bookman Old Style" w:cs="Arial"/>
            <w:b w:val="0"/>
            <w:color w:val="337AB7"/>
            <w:bdr w:val="none" w:sz="0" w:space="0" w:color="auto" w:frame="1"/>
          </w:rPr>
          <w:t>(</w:t>
        </w:r>
        <w:proofErr w:type="spellStart"/>
        <w:r w:rsidRPr="006F4CAA">
          <w:rPr>
            <w:rStyle w:val="Pogrubienie"/>
            <w:rFonts w:ascii="Bookman Old Style" w:hAnsi="Bookman Old Style" w:cs="Arial"/>
            <w:b w:val="0"/>
            <w:color w:val="337AB7"/>
            <w:bdr w:val="none" w:sz="0" w:space="0" w:color="auto" w:frame="1"/>
          </w:rPr>
          <w:t>Dz.U</w:t>
        </w:r>
        <w:proofErr w:type="spellEnd"/>
        <w:r w:rsidRPr="006F4CAA">
          <w:rPr>
            <w:rStyle w:val="Pogrubienie"/>
            <w:rFonts w:ascii="Bookman Old Style" w:hAnsi="Bookman Old Style" w:cs="Arial"/>
            <w:b w:val="0"/>
            <w:color w:val="337AB7"/>
            <w:bdr w:val="none" w:sz="0" w:space="0" w:color="auto" w:frame="1"/>
          </w:rPr>
          <w:t>. Nr 135, poz. 1269)</w:t>
        </w:r>
      </w:hyperlink>
      <w:r w:rsidRPr="006F4CAA">
        <w:rPr>
          <w:rStyle w:val="Pogrubienie"/>
          <w:rFonts w:ascii="Bookman Old Style" w:hAnsi="Bookman Old Style" w:cs="Arial"/>
          <w:b w:val="0"/>
          <w:color w:val="333333"/>
          <w:bdr w:val="none" w:sz="0" w:space="0" w:color="auto" w:frame="1"/>
        </w:rPr>
        <w:t xml:space="preserve"> oraz innych dotyczących urządzeń ciśnieniowych?</w:t>
      </w:r>
    </w:p>
    <w:p w:rsidR="0064684C" w:rsidRPr="006F4CAA" w:rsidRDefault="0064684C" w:rsidP="0064684C">
      <w:pPr>
        <w:pStyle w:val="NormalnyWeb"/>
        <w:shd w:val="clear" w:color="auto" w:fill="FFFFFF"/>
        <w:spacing w:before="0" w:beforeAutospacing="0" w:after="0" w:line="360" w:lineRule="auto"/>
        <w:textAlignment w:val="baseline"/>
        <w:rPr>
          <w:rFonts w:ascii="Bookman Old Style" w:hAnsi="Bookman Old Style" w:cs="Arial"/>
          <w:color w:val="333333"/>
        </w:rPr>
      </w:pPr>
      <w:r w:rsidRPr="006F4CAA">
        <w:rPr>
          <w:rStyle w:val="Pogrubienie"/>
          <w:rFonts w:ascii="Bookman Old Style" w:hAnsi="Bookman Old Style" w:cs="Arial"/>
          <w:b w:val="0"/>
          <w:color w:val="333333"/>
          <w:bdr w:val="none" w:sz="0" w:space="0" w:color="auto" w:frame="1"/>
        </w:rPr>
        <w:t>Taka komora będzie miała nadciśnienie powyżej 0,5 bar i musi spełnić powyższe wymagania, w innym przypadku nie będzie możliw</w:t>
      </w:r>
      <w:r>
        <w:rPr>
          <w:rStyle w:val="Pogrubienie"/>
          <w:rFonts w:ascii="Bookman Old Style" w:hAnsi="Bookman Old Style" w:cs="Arial"/>
          <w:b w:val="0"/>
          <w:color w:val="333333"/>
          <w:bdr w:val="none" w:sz="0" w:space="0" w:color="auto" w:frame="1"/>
        </w:rPr>
        <w:t>ości użytkowania zgodnie z praw</w:t>
      </w:r>
      <w:r w:rsidRPr="006F4CAA">
        <w:rPr>
          <w:rStyle w:val="Pogrubienie"/>
          <w:rFonts w:ascii="Bookman Old Style" w:hAnsi="Bookman Old Style" w:cs="Arial"/>
          <w:b w:val="0"/>
          <w:color w:val="333333"/>
          <w:bdr w:val="none" w:sz="0" w:space="0" w:color="auto" w:frame="1"/>
        </w:rPr>
        <w:t>em.</w:t>
      </w:r>
    </w:p>
    <w:p w:rsidR="0064684C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4684C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Odp.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F4CAA">
        <w:rPr>
          <w:rFonts w:ascii="Bookman Old Style" w:hAnsi="Bookman Old Style"/>
          <w:sz w:val="24"/>
          <w:szCs w:val="24"/>
        </w:rPr>
        <w:t>Wymagana przez zamawiającego komora hiperbaryczna o ciśnieniu operacyjnym minimum  1,6 ATA  ( 0,6 bar ) zgodnie z Rozp</w:t>
      </w:r>
      <w:r>
        <w:rPr>
          <w:rFonts w:ascii="Bookman Old Style" w:hAnsi="Bookman Old Style"/>
          <w:sz w:val="24"/>
          <w:szCs w:val="24"/>
        </w:rPr>
        <w:t xml:space="preserve">orządzenia </w:t>
      </w:r>
      <w:r w:rsidRPr="006F4CAA">
        <w:rPr>
          <w:rFonts w:ascii="Bookman Old Style" w:hAnsi="Bookman Old Style"/>
          <w:sz w:val="24"/>
          <w:szCs w:val="24"/>
        </w:rPr>
        <w:t>Min</w:t>
      </w:r>
      <w:r>
        <w:rPr>
          <w:rFonts w:ascii="Bookman Old Style" w:hAnsi="Bookman Old Style"/>
          <w:sz w:val="24"/>
          <w:szCs w:val="24"/>
        </w:rPr>
        <w:t>istra Gospodarki</w:t>
      </w:r>
      <w:r w:rsidRPr="006F4CAA">
        <w:rPr>
          <w:rFonts w:ascii="Bookman Old Style" w:hAnsi="Bookman Old Style"/>
          <w:sz w:val="24"/>
          <w:szCs w:val="24"/>
        </w:rPr>
        <w:t xml:space="preserve">, Pracy i Polityki Społecznej </w:t>
      </w:r>
      <w:proofErr w:type="spellStart"/>
      <w:r w:rsidRPr="006F4CAA">
        <w:rPr>
          <w:rFonts w:ascii="Bookman Old Style" w:hAnsi="Bookman Old Style"/>
          <w:sz w:val="24"/>
          <w:szCs w:val="24"/>
        </w:rPr>
        <w:t>Dz.U</w:t>
      </w:r>
      <w:proofErr w:type="spellEnd"/>
      <w:r w:rsidRPr="006F4CAA">
        <w:rPr>
          <w:rFonts w:ascii="Bookman Old Style" w:hAnsi="Bookman Old Style"/>
          <w:sz w:val="24"/>
          <w:szCs w:val="24"/>
        </w:rPr>
        <w:t xml:space="preserve">  Nr 135 poz.1269 z dn. 09.07.2003 r. nie wymaga uzyskania decyzji dopuszczającej do eksploatacji wydawanej przez UDT.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F4CAA">
        <w:rPr>
          <w:rFonts w:ascii="Bookman Old Style" w:hAnsi="Bookman Old Style"/>
          <w:sz w:val="24"/>
          <w:szCs w:val="24"/>
        </w:rPr>
        <w:t xml:space="preserve">Na komory hiperbaryczne o ciśnieniu operacyjnym równym lub wyższym niż  0,7 </w:t>
      </w:r>
      <w:proofErr w:type="spellStart"/>
      <w:r w:rsidRPr="006F4CAA">
        <w:rPr>
          <w:rFonts w:ascii="Bookman Old Style" w:hAnsi="Bookman Old Style"/>
          <w:sz w:val="24"/>
          <w:szCs w:val="24"/>
        </w:rPr>
        <w:t>bara</w:t>
      </w:r>
      <w:proofErr w:type="spellEnd"/>
      <w:r w:rsidRPr="006F4C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72321">
        <w:rPr>
          <w:rFonts w:ascii="Bookman Old Style" w:hAnsi="Bookman Old Style"/>
          <w:sz w:val="24"/>
          <w:szCs w:val="24"/>
        </w:rPr>
        <w:t>wykonawca</w:t>
      </w:r>
      <w:proofErr w:type="spellEnd"/>
      <w:r w:rsidRPr="006F4CAA">
        <w:rPr>
          <w:rFonts w:ascii="Bookman Old Style" w:hAnsi="Bookman Old Style"/>
          <w:sz w:val="24"/>
          <w:szCs w:val="24"/>
        </w:rPr>
        <w:t xml:space="preserve"> zobowiązany jest </w:t>
      </w:r>
      <w:r w:rsidR="00F72321">
        <w:rPr>
          <w:rFonts w:ascii="Bookman Old Style" w:hAnsi="Bookman Old Style"/>
          <w:sz w:val="24"/>
          <w:szCs w:val="24"/>
        </w:rPr>
        <w:t>uzyskać</w:t>
      </w:r>
      <w:r w:rsidR="00E5760F">
        <w:rPr>
          <w:rFonts w:ascii="Bookman Old Style" w:hAnsi="Bookman Old Style"/>
          <w:sz w:val="24"/>
          <w:szCs w:val="24"/>
        </w:rPr>
        <w:t xml:space="preserve"> </w:t>
      </w:r>
      <w:r w:rsidRPr="006F4CAA">
        <w:rPr>
          <w:rFonts w:ascii="Bookman Old Style" w:hAnsi="Bookman Old Style"/>
          <w:sz w:val="24"/>
          <w:szCs w:val="24"/>
        </w:rPr>
        <w:t>decyzję UDT dopuszczającą do eksploatacji</w:t>
      </w:r>
      <w:r w:rsidR="00E5760F">
        <w:rPr>
          <w:rFonts w:ascii="Bookman Old Style" w:hAnsi="Bookman Old Style"/>
          <w:sz w:val="24"/>
          <w:szCs w:val="24"/>
        </w:rPr>
        <w:t xml:space="preserve"> w terminie wykonania umowy</w:t>
      </w:r>
      <w:r w:rsidRPr="006F4CAA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64684C" w:rsidRPr="006F4CAA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4684C" w:rsidRPr="006F4CAA" w:rsidRDefault="0064684C" w:rsidP="0064684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rPr>
          <w:rFonts w:ascii="Bookman Old Style" w:hAnsi="Bookman Old Style" w:cs="Arial"/>
          <w:b w:val="0"/>
          <w:spacing w:val="5"/>
          <w:sz w:val="24"/>
          <w:szCs w:val="24"/>
        </w:rPr>
      </w:pPr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lastRenderedPageBreak/>
        <w:t xml:space="preserve">Pyt 3. Dot. Załącznik nr 1 – </w:t>
      </w:r>
      <w:proofErr w:type="spellStart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>opz</w:t>
      </w:r>
      <w:proofErr w:type="spellEnd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 pkt. 11 </w:t>
      </w:r>
      <w:r w:rsidRPr="006F4CAA">
        <w:rPr>
          <w:rFonts w:ascii="Bookman Old Style" w:hAnsi="Bookman Old Style"/>
          <w:b w:val="0"/>
          <w:sz w:val="24"/>
          <w:szCs w:val="24"/>
        </w:rPr>
        <w:t>Ciśnienie operacyjne: min. 1, 6 ATA</w:t>
      </w:r>
    </w:p>
    <w:p w:rsidR="0064684C" w:rsidRPr="006F4CAA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 xml:space="preserve">Prosimy o doprecyzowanie. W związku z powyższym rozumiemy, że Zamawiający wymaga przedstawienia dokumentów, które będą potrzebne do rejestracji urządzenia ciśnieniowego w Urzędzie Dozoru Technicznego zgodnie z wyżej przytoczoną Ustawą oraz załączenie ich do oferty? </w:t>
      </w: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4684C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Odp.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F4CAA">
        <w:rPr>
          <w:rFonts w:ascii="Bookman Old Style" w:hAnsi="Bookman Old Style"/>
          <w:sz w:val="24"/>
          <w:szCs w:val="24"/>
        </w:rPr>
        <w:t xml:space="preserve">Zamawiający wymaga </w:t>
      </w:r>
      <w:r w:rsidR="00FC3443">
        <w:rPr>
          <w:rFonts w:ascii="Bookman Old Style" w:hAnsi="Bookman Old Style"/>
          <w:sz w:val="24"/>
          <w:szCs w:val="24"/>
        </w:rPr>
        <w:t>posiadania przez wykonawcę</w:t>
      </w:r>
      <w:r w:rsidRPr="006F4CAA">
        <w:rPr>
          <w:rFonts w:ascii="Bookman Old Style" w:hAnsi="Bookman Old Style"/>
          <w:sz w:val="24"/>
          <w:szCs w:val="24"/>
        </w:rPr>
        <w:t xml:space="preserve"> dokumentów, które będą wymagane do uzyskania decyzji o dopuszczeniu ek</w:t>
      </w:r>
      <w:r>
        <w:rPr>
          <w:rFonts w:ascii="Bookman Old Style" w:hAnsi="Bookman Old Style"/>
          <w:sz w:val="24"/>
          <w:szCs w:val="24"/>
        </w:rPr>
        <w:t>sploatacji wydawanej przez UDT zgodnie z zapisem odpowiedzi do pkt. 2</w:t>
      </w:r>
      <w:r w:rsidR="00FC3443">
        <w:rPr>
          <w:rFonts w:ascii="Bookman Old Style" w:hAnsi="Bookman Old Style"/>
          <w:sz w:val="24"/>
          <w:szCs w:val="24"/>
        </w:rPr>
        <w:t>. Wykonawca</w:t>
      </w:r>
      <w:r w:rsidR="00FC3443" w:rsidRPr="006F4CAA">
        <w:rPr>
          <w:rFonts w:ascii="Bookman Old Style" w:hAnsi="Bookman Old Style"/>
          <w:sz w:val="24"/>
          <w:szCs w:val="24"/>
        </w:rPr>
        <w:t xml:space="preserve"> zobowiązany jest </w:t>
      </w:r>
      <w:r w:rsidR="00FC3443">
        <w:rPr>
          <w:rFonts w:ascii="Bookman Old Style" w:hAnsi="Bookman Old Style"/>
          <w:sz w:val="24"/>
          <w:szCs w:val="24"/>
        </w:rPr>
        <w:t xml:space="preserve">uzyskać </w:t>
      </w:r>
      <w:r w:rsidR="00FC3443" w:rsidRPr="006F4CAA">
        <w:rPr>
          <w:rFonts w:ascii="Bookman Old Style" w:hAnsi="Bookman Old Style"/>
          <w:sz w:val="24"/>
          <w:szCs w:val="24"/>
        </w:rPr>
        <w:t xml:space="preserve">decyzję UDT dopuszczającą do </w:t>
      </w:r>
      <w:r w:rsidR="00FC3443">
        <w:rPr>
          <w:rFonts w:ascii="Bookman Old Style" w:hAnsi="Bookman Old Style"/>
          <w:sz w:val="24"/>
          <w:szCs w:val="24"/>
        </w:rPr>
        <w:t xml:space="preserve">komorę hiperbaryczną do </w:t>
      </w:r>
      <w:r w:rsidR="00FC3443" w:rsidRPr="006F4CAA">
        <w:rPr>
          <w:rFonts w:ascii="Bookman Old Style" w:hAnsi="Bookman Old Style"/>
          <w:sz w:val="24"/>
          <w:szCs w:val="24"/>
        </w:rPr>
        <w:t>eksploatacji</w:t>
      </w:r>
      <w:r w:rsidR="00FC3443">
        <w:rPr>
          <w:rFonts w:ascii="Bookman Old Style" w:hAnsi="Bookman Old Style"/>
          <w:sz w:val="24"/>
          <w:szCs w:val="24"/>
        </w:rPr>
        <w:t xml:space="preserve"> w terminie wykonania umowy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4684C" w:rsidRPr="006F4CAA" w:rsidRDefault="0064684C" w:rsidP="0064684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rPr>
          <w:rFonts w:ascii="Bookman Old Style" w:hAnsi="Bookman Old Style" w:cs="Arial"/>
          <w:b w:val="0"/>
          <w:spacing w:val="5"/>
          <w:sz w:val="24"/>
          <w:szCs w:val="24"/>
        </w:rPr>
      </w:pPr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Pyt 4. Dot. Załącznik nr 1 – </w:t>
      </w:r>
      <w:proofErr w:type="spellStart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>opz</w:t>
      </w:r>
      <w:proofErr w:type="spellEnd"/>
      <w:r w:rsidRPr="006F4CAA">
        <w:rPr>
          <w:rFonts w:ascii="Bookman Old Style" w:hAnsi="Bookman Old Style" w:cs="Arial"/>
          <w:b w:val="0"/>
          <w:spacing w:val="-2"/>
          <w:sz w:val="24"/>
          <w:szCs w:val="24"/>
        </w:rPr>
        <w:t xml:space="preserve"> pkt. 20 </w:t>
      </w:r>
      <w:r w:rsidRPr="006F4CAA">
        <w:rPr>
          <w:rFonts w:ascii="Bookman Old Style" w:hAnsi="Bookman Old Style"/>
          <w:b w:val="0"/>
          <w:sz w:val="24"/>
          <w:szCs w:val="24"/>
        </w:rPr>
        <w:t>Świadectwo o dopuszczeniu do stosowania w Unii Europejskiej CE</w:t>
      </w: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4684C" w:rsidRPr="006F4CAA" w:rsidRDefault="0064684C" w:rsidP="0064684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6F4CAA">
        <w:rPr>
          <w:rFonts w:ascii="Bookman Old Style" w:hAnsi="Bookman Old Style" w:cs="Arial"/>
          <w:sz w:val="24"/>
          <w:szCs w:val="24"/>
        </w:rPr>
        <w:t>Prosimy  o doprecyzowanie zapisu. W związku z powyższym niezrozumiałe jest pojęcie „świadectwo”. W prawie unijnym dla urządzeń medycznych dokumentem potwierdzającym do użytku jest Certyfikat CE wystawiony przez jednostkę notyfikowaną – dokument ten nosi nazwę Certyfikat CE. Rozumiemy, że Zamawiający wymaga zgodnie z SIWZ certyfikatu medycznego CE na zaoferowane urządzenie medyczne?</w:t>
      </w:r>
    </w:p>
    <w:p w:rsidR="0064684C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4684C" w:rsidRPr="006F4CAA" w:rsidRDefault="0064684C" w:rsidP="0064684C">
      <w:pPr>
        <w:suppressAutoHyphens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Odp.</w:t>
      </w:r>
    </w:p>
    <w:p w:rsidR="0064684C" w:rsidRDefault="0064684C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F4CAA">
        <w:rPr>
          <w:rFonts w:ascii="Bookman Old Style" w:hAnsi="Bookman Old Style"/>
          <w:sz w:val="24"/>
          <w:szCs w:val="24"/>
        </w:rPr>
        <w:t xml:space="preserve">Zamawiający wymaga </w:t>
      </w:r>
      <w:r>
        <w:rPr>
          <w:rFonts w:ascii="Bookman Old Style" w:hAnsi="Bookman Old Style"/>
          <w:sz w:val="24"/>
          <w:szCs w:val="24"/>
        </w:rPr>
        <w:t xml:space="preserve">posiadania Certyfikatu </w:t>
      </w:r>
      <w:r w:rsidR="00C7290B">
        <w:rPr>
          <w:rFonts w:ascii="Bookman Old Style" w:hAnsi="Bookman Old Style"/>
          <w:sz w:val="24"/>
          <w:szCs w:val="24"/>
        </w:rPr>
        <w:t xml:space="preserve">medycznego </w:t>
      </w:r>
      <w:r w:rsidRPr="006F4CAA">
        <w:rPr>
          <w:rFonts w:ascii="Bookman Old Style" w:hAnsi="Bookman Old Style"/>
          <w:sz w:val="24"/>
          <w:szCs w:val="24"/>
        </w:rPr>
        <w:t>CE na oferowane  urządzen</w:t>
      </w:r>
      <w:r w:rsidR="00C7290B">
        <w:rPr>
          <w:rFonts w:ascii="Bookman Old Style" w:hAnsi="Bookman Old Style"/>
          <w:sz w:val="24"/>
          <w:szCs w:val="24"/>
        </w:rPr>
        <w:t>ie.</w:t>
      </w:r>
    </w:p>
    <w:p w:rsidR="00C7290B" w:rsidRDefault="00C7290B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7290B" w:rsidRDefault="005B7AF7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Zamawiający umieszcza na stronie prowadzonego postępowania następujące załączniki:</w:t>
      </w:r>
    </w:p>
    <w:p w:rsidR="005B7AF7" w:rsidRDefault="005B7AF7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Pr="005B7AF7">
        <w:rPr>
          <w:rFonts w:ascii="Bookman Old Style" w:hAnsi="Bookman Old Style"/>
          <w:sz w:val="24"/>
          <w:szCs w:val="24"/>
        </w:rPr>
        <w:t xml:space="preserve">Załącznik nr 1 </w:t>
      </w:r>
      <w:r>
        <w:rPr>
          <w:rFonts w:ascii="Bookman Old Style" w:hAnsi="Bookman Old Style"/>
          <w:sz w:val="24"/>
          <w:szCs w:val="24"/>
        </w:rPr>
        <w:t>–</w:t>
      </w:r>
      <w:r w:rsidRPr="005B7A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B7AF7">
        <w:rPr>
          <w:rFonts w:ascii="Bookman Old Style" w:hAnsi="Bookman Old Style"/>
          <w:sz w:val="24"/>
          <w:szCs w:val="24"/>
        </w:rPr>
        <w:t>opz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Pr="005B7AF7">
        <w:rPr>
          <w:rFonts w:ascii="Bookman Old Style" w:hAnsi="Bookman Old Style"/>
          <w:sz w:val="24"/>
          <w:szCs w:val="24"/>
        </w:rPr>
        <w:t xml:space="preserve"> NOWY</w:t>
      </w:r>
    </w:p>
    <w:p w:rsidR="005B7AF7" w:rsidRDefault="005B7AF7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Pr="005B7AF7">
        <w:rPr>
          <w:rFonts w:ascii="Bookman Old Style" w:hAnsi="Bookman Old Style"/>
          <w:sz w:val="24"/>
          <w:szCs w:val="24"/>
        </w:rPr>
        <w:t>Załącznik nr 4 - projektowane postanowienia umowy NOWE</w:t>
      </w:r>
    </w:p>
    <w:p w:rsidR="005B7AF7" w:rsidRPr="006F4CAA" w:rsidRDefault="005B7AF7" w:rsidP="0064684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673CD" w:rsidRPr="0064684C" w:rsidRDefault="00226A55" w:rsidP="006573E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673CD" w:rsidRPr="006573EF">
        <w:rPr>
          <w:rFonts w:ascii="Bookman Old Style" w:hAnsi="Bookman Old Style"/>
          <w:sz w:val="24"/>
          <w:szCs w:val="24"/>
        </w:rPr>
        <w:t xml:space="preserve">Wielkopolskie Centrum Pulmonologii i Torakochirurgii SP ZOZ działając na </w:t>
      </w:r>
      <w:r w:rsidR="007673CD" w:rsidRPr="0064684C">
        <w:rPr>
          <w:rFonts w:ascii="Bookman Old Style" w:hAnsi="Bookman Old Style"/>
          <w:sz w:val="24"/>
          <w:szCs w:val="24"/>
        </w:rPr>
        <w:t xml:space="preserve">podstawie art. 284 ust. </w:t>
      </w:r>
      <w:r w:rsidR="007673CD" w:rsidRPr="0064684C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="007673CD" w:rsidRPr="0064684C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64684C">
        <w:rPr>
          <w:rFonts w:ascii="Bookman Old Style" w:hAnsi="Bookman Old Style"/>
          <w:sz w:val="24"/>
          <w:szCs w:val="24"/>
          <w:lang w:eastAsia="pl-PL"/>
        </w:rPr>
        <w:t>11 września 2019</w:t>
      </w:r>
      <w:r w:rsidR="008F6829" w:rsidRPr="0064684C">
        <w:rPr>
          <w:rFonts w:ascii="Bookman Old Style" w:hAnsi="Bookman Old Style"/>
          <w:sz w:val="24"/>
          <w:szCs w:val="24"/>
          <w:lang w:eastAsia="pl-PL"/>
        </w:rPr>
        <w:t xml:space="preserve"> </w:t>
      </w:r>
      <w:r w:rsidR="007673CD" w:rsidRPr="0064684C">
        <w:rPr>
          <w:rFonts w:ascii="Bookman Old Style" w:hAnsi="Bookman Old Style"/>
          <w:sz w:val="24"/>
          <w:szCs w:val="24"/>
          <w:lang w:eastAsia="pl-PL"/>
        </w:rPr>
        <w:t>r</w:t>
      </w:r>
      <w:r w:rsidR="007673CD" w:rsidRPr="0064684C">
        <w:rPr>
          <w:rFonts w:ascii="Bookman Old Style" w:hAnsi="Bookman Old Style"/>
          <w:sz w:val="24"/>
          <w:szCs w:val="24"/>
        </w:rPr>
        <w:t>. (</w:t>
      </w:r>
      <w:r w:rsidR="006573EF" w:rsidRPr="0064684C">
        <w:rPr>
          <w:rFonts w:ascii="Bookman Old Style" w:hAnsi="Bookman Old Style"/>
          <w:sz w:val="24"/>
          <w:szCs w:val="24"/>
        </w:rPr>
        <w:t>Dz</w:t>
      </w:r>
      <w:r w:rsidR="008F6829" w:rsidRPr="0064684C">
        <w:rPr>
          <w:rFonts w:ascii="Bookman Old Style" w:hAnsi="Bookman Old Style"/>
          <w:sz w:val="24"/>
          <w:szCs w:val="24"/>
        </w:rPr>
        <w:t xml:space="preserve">. </w:t>
      </w:r>
      <w:r w:rsidR="006573EF" w:rsidRPr="0064684C">
        <w:rPr>
          <w:rFonts w:ascii="Bookman Old Style" w:hAnsi="Bookman Old Style"/>
          <w:sz w:val="24"/>
          <w:szCs w:val="24"/>
        </w:rPr>
        <w:t>U.</w:t>
      </w:r>
      <w:r w:rsidR="007673CD" w:rsidRPr="0064684C">
        <w:rPr>
          <w:rFonts w:ascii="Bookman Old Style" w:eastAsia="Times New Roman" w:hAnsi="Bookman Old Style"/>
          <w:sz w:val="24"/>
          <w:szCs w:val="24"/>
          <w:lang w:eastAsia="pl-PL"/>
        </w:rPr>
        <w:t xml:space="preserve"> 2019r. poz. 2019 ze zm.</w:t>
      </w:r>
      <w:r w:rsidR="007673CD" w:rsidRPr="0064684C">
        <w:rPr>
          <w:rFonts w:ascii="Bookman Old Style" w:hAnsi="Bookman Old Style"/>
          <w:sz w:val="24"/>
          <w:szCs w:val="24"/>
        </w:rPr>
        <w:t xml:space="preserve">) </w:t>
      </w:r>
      <w:r w:rsidR="007673CD" w:rsidRPr="0064684C">
        <w:rPr>
          <w:rFonts w:ascii="Bookman Old Style" w:eastAsia="Times New Roman" w:hAnsi="Bookman Old Style"/>
          <w:sz w:val="24"/>
          <w:szCs w:val="24"/>
        </w:rPr>
        <w:t xml:space="preserve">przedłuża terminy składania i otwarcia ofert do </w:t>
      </w:r>
      <w:r w:rsidR="00C7290B" w:rsidRPr="00C7290B">
        <w:rPr>
          <w:rFonts w:ascii="Bookman Old Style" w:eastAsia="Times New Roman" w:hAnsi="Bookman Old Style"/>
          <w:b/>
          <w:sz w:val="24"/>
          <w:szCs w:val="24"/>
        </w:rPr>
        <w:t>13.07.2021</w:t>
      </w:r>
      <w:r w:rsidR="007673CD" w:rsidRPr="00C7290B">
        <w:rPr>
          <w:rFonts w:ascii="Bookman Old Style" w:eastAsia="Times New Roman" w:hAnsi="Bookman Old Style"/>
          <w:b/>
          <w:sz w:val="24"/>
          <w:szCs w:val="24"/>
        </w:rPr>
        <w:t xml:space="preserve"> r.</w:t>
      </w:r>
    </w:p>
    <w:p w:rsidR="007673CD" w:rsidRPr="0064684C" w:rsidRDefault="007673CD" w:rsidP="006573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4684C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64684C" w:rsidRPr="0064684C" w:rsidRDefault="0064684C" w:rsidP="0064684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4684C">
        <w:rPr>
          <w:rFonts w:ascii="Bookman Old Style" w:hAnsi="Bookman Old Style" w:cstheme="minorHAnsi"/>
          <w:sz w:val="24"/>
          <w:szCs w:val="24"/>
        </w:rPr>
        <w:tab/>
        <w:t xml:space="preserve">W związku ze zmianą terminu składania ofert, termin związania ofertą zostaje przedłużony do dnia </w:t>
      </w:r>
      <w:r w:rsidR="00C7290B">
        <w:rPr>
          <w:rFonts w:ascii="Bookman Old Style" w:hAnsi="Bookman Old Style" w:cstheme="minorHAnsi"/>
          <w:b/>
          <w:sz w:val="24"/>
          <w:szCs w:val="24"/>
        </w:rPr>
        <w:t>11.08.2021</w:t>
      </w:r>
      <w:r w:rsidRPr="0064684C">
        <w:rPr>
          <w:rFonts w:ascii="Bookman Old Style" w:hAnsi="Bookman Old Style" w:cstheme="minorHAnsi"/>
          <w:b/>
          <w:sz w:val="24"/>
          <w:szCs w:val="24"/>
        </w:rPr>
        <w:t xml:space="preserve"> r.</w:t>
      </w:r>
    </w:p>
    <w:p w:rsidR="007F5CF4" w:rsidRPr="006573EF" w:rsidRDefault="007F5CF4" w:rsidP="006573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573EF" w:rsidRPr="006573EF" w:rsidRDefault="006573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6573EF" w:rsidRPr="006573EF" w:rsidSect="00C3579C">
      <w:headerReference w:type="default" r:id="rId11"/>
      <w:footerReference w:type="default" r:id="rId12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80" w:rsidRDefault="00980780" w:rsidP="00F92ECB">
      <w:pPr>
        <w:spacing w:after="0" w:line="240" w:lineRule="auto"/>
      </w:pPr>
      <w:r>
        <w:separator/>
      </w:r>
    </w:p>
  </w:endnote>
  <w:endnote w:type="continuationSeparator" w:id="0">
    <w:p w:rsidR="00980780" w:rsidRDefault="0098078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80" w:rsidRDefault="0092191A">
    <w:pPr>
      <w:pStyle w:val="Stopka"/>
    </w:pPr>
    <w:fldSimple w:instr=" PAGE   \* MERGEFORMAT ">
      <w:r w:rsidR="003F0526">
        <w:rPr>
          <w:noProof/>
        </w:rPr>
        <w:t>2</w:t>
      </w:r>
    </w:fldSimple>
    <w:r w:rsidR="0098078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80" w:rsidRDefault="00980780" w:rsidP="00F92ECB">
      <w:pPr>
        <w:spacing w:after="0" w:line="240" w:lineRule="auto"/>
      </w:pPr>
      <w:r>
        <w:separator/>
      </w:r>
    </w:p>
  </w:footnote>
  <w:footnote w:type="continuationSeparator" w:id="0">
    <w:p w:rsidR="00980780" w:rsidRDefault="0098078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80" w:rsidRDefault="009807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7FB"/>
    <w:multiLevelType w:val="hybridMultilevel"/>
    <w:tmpl w:val="889E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C189F"/>
    <w:multiLevelType w:val="hybridMultilevel"/>
    <w:tmpl w:val="D0E44B8C"/>
    <w:lvl w:ilvl="0" w:tplc="C4D8292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5"/>
  </w:num>
  <w:num w:numId="12">
    <w:abstractNumId w:val="20"/>
  </w:num>
  <w:num w:numId="13">
    <w:abstractNumId w:val="4"/>
  </w:num>
  <w:num w:numId="14">
    <w:abstractNumId w:val="3"/>
  </w:num>
  <w:num w:numId="15">
    <w:abstractNumId w:val="27"/>
  </w:num>
  <w:num w:numId="16">
    <w:abstractNumId w:val="6"/>
  </w:num>
  <w:num w:numId="17">
    <w:abstractNumId w:val="24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CBE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6A55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0526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AED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B7AF7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58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4684C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5E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19C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191A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0FD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90B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61C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60F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2321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443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684C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HG Mincho Light J" w:hAnsi="Arial"/>
      <w:b/>
      <w:bCs/>
      <w:color w:val="0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8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Nagwek1Znak">
    <w:name w:val="Nagłówek 1 Znak"/>
    <w:basedOn w:val="Domylnaczcionkaakapitu"/>
    <w:link w:val="Nagwek1"/>
    <w:rsid w:val="0064684C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68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">
    <w:name w:val="Domyślna czcionka akapitu1"/>
    <w:rsid w:val="0064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012213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isap.sejm.gov.pl/DetailsServlet?id=WDU2003135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2000146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BDCF-10C1-4F76-BFE6-16A30637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15</TotalTime>
  <Pages>8</Pages>
  <Words>1442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9</cp:revision>
  <cp:lastPrinted>2021-07-06T09:55:00Z</cp:lastPrinted>
  <dcterms:created xsi:type="dcterms:W3CDTF">2021-07-06T09:35:00Z</dcterms:created>
  <dcterms:modified xsi:type="dcterms:W3CDTF">2021-07-06T09:59:00Z</dcterms:modified>
</cp:coreProperties>
</file>