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1C6283">
        <w:rPr>
          <w:rFonts w:ascii="Bookman Old Style" w:hAnsi="Bookman Old Style"/>
        </w:rPr>
        <w:t>W</w:t>
      </w:r>
      <w:r w:rsidR="00734362">
        <w:rPr>
          <w:rFonts w:ascii="Bookman Old Style" w:hAnsi="Bookman Old Style"/>
        </w:rPr>
        <w:t>CPiT</w:t>
      </w:r>
      <w:proofErr w:type="spellEnd"/>
      <w:r w:rsidR="00734362">
        <w:rPr>
          <w:rFonts w:ascii="Bookman Old Style" w:hAnsi="Bookman Old Style"/>
        </w:rPr>
        <w:t xml:space="preserve"> /EA/381-24</w:t>
      </w:r>
      <w:r w:rsidRPr="001C6283">
        <w:rPr>
          <w:rFonts w:ascii="Bookman Old Style" w:hAnsi="Bookman Old Style"/>
        </w:rPr>
        <w:t xml:space="preserve">/2021 </w:t>
      </w:r>
      <w:r w:rsidRPr="001C6283">
        <w:rPr>
          <w:rFonts w:ascii="Bookman Old Style" w:hAnsi="Bookman Old Style"/>
        </w:rPr>
        <w:tab/>
      </w:r>
      <w:r w:rsidRPr="001C6283">
        <w:rPr>
          <w:rFonts w:ascii="Bookman Old Style" w:hAnsi="Bookman Old Style"/>
        </w:rPr>
        <w:tab/>
      </w:r>
      <w:r w:rsidRPr="001C6283">
        <w:rPr>
          <w:rFonts w:ascii="Bookman Old Style" w:hAnsi="Bookman Old Style"/>
        </w:rPr>
        <w:tab/>
      </w:r>
      <w:r w:rsidRPr="001C6283">
        <w:rPr>
          <w:rFonts w:ascii="Bookman Old Style" w:hAnsi="Bookman Old Style"/>
        </w:rPr>
        <w:tab/>
      </w:r>
      <w:r w:rsidRPr="001C6283">
        <w:rPr>
          <w:rFonts w:ascii="Bookman Old Style" w:hAnsi="Bookman Old Style"/>
        </w:rPr>
        <w:tab/>
        <w:t xml:space="preserve">Poznań, </w:t>
      </w:r>
      <w:r w:rsidR="00734362">
        <w:rPr>
          <w:rFonts w:ascii="Bookman Old Style" w:hAnsi="Bookman Old Style"/>
        </w:rPr>
        <w:t>24.09.</w:t>
      </w:r>
      <w:r w:rsidRPr="001C6283">
        <w:rPr>
          <w:rFonts w:ascii="Bookman Old Style" w:hAnsi="Bookman Old Style"/>
        </w:rPr>
        <w:t>2021 r.</w:t>
      </w: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ab/>
      </w:r>
      <w:r w:rsidRPr="001C6283">
        <w:rPr>
          <w:rFonts w:ascii="Bookman Old Style" w:hAnsi="Bookman Old Style"/>
        </w:rPr>
        <w:tab/>
      </w: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1C6283" w:rsidRDefault="00321412" w:rsidP="00247DA7">
      <w:pPr>
        <w:spacing w:after="0" w:line="360" w:lineRule="auto"/>
        <w:jc w:val="right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>Uczestnicy postępowania</w:t>
      </w: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  <w:b/>
        </w:rPr>
      </w:pPr>
      <w:r w:rsidRPr="001C6283">
        <w:rPr>
          <w:rFonts w:ascii="Bookman Old Style" w:hAnsi="Bookman Old Style" w:cstheme="minorHAnsi"/>
          <w:b/>
        </w:rPr>
        <w:t xml:space="preserve">Dotyczy: przetargu nieograniczonego </w:t>
      </w:r>
      <w:r w:rsidRPr="001C6283">
        <w:rPr>
          <w:rFonts w:ascii="Bookman Old Style" w:hAnsi="Bookman Old Style" w:cstheme="minorHAnsi"/>
          <w:b/>
          <w:lang w:eastAsia="pl-PL"/>
        </w:rPr>
        <w:t xml:space="preserve">na </w:t>
      </w:r>
      <w:r w:rsidR="001C6283" w:rsidRPr="001C6283">
        <w:rPr>
          <w:rFonts w:ascii="Bookman Old Style" w:hAnsi="Bookman Old Style" w:cstheme="minorHAnsi"/>
          <w:b/>
          <w:bCs/>
        </w:rPr>
        <w:t>zakup</w:t>
      </w:r>
      <w:r w:rsidR="001C6283" w:rsidRPr="001C6283">
        <w:rPr>
          <w:rFonts w:ascii="Bookman Old Style" w:eastAsia="SimSun" w:hAnsi="Bookman Old Style"/>
          <w:b/>
          <w:bCs/>
          <w:lang w:eastAsia="zh-CN"/>
        </w:rPr>
        <w:t xml:space="preserve"> sprzętu do diagnostyki i leczenia raka płuca</w:t>
      </w: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</w:rPr>
      </w:pP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1C6283">
        <w:rPr>
          <w:rFonts w:ascii="Bookman Old Style" w:hAnsi="Bookman Old Style"/>
        </w:rPr>
        <w:t xml:space="preserve">Zgodnie z art. </w:t>
      </w:r>
      <w:r w:rsidR="00EF35B2" w:rsidRPr="001C6283">
        <w:rPr>
          <w:rFonts w:ascii="Bookman Old Style" w:hAnsi="Bookman Old Style"/>
        </w:rPr>
        <w:t>135</w:t>
      </w:r>
      <w:r w:rsidRPr="001C6283">
        <w:rPr>
          <w:rFonts w:ascii="Bookman Old Style" w:hAnsi="Bookman Old Style"/>
        </w:rPr>
        <w:t xml:space="preserve"> ust. 2 ustawy Prawo Zamówień Publicznych z dnia </w:t>
      </w:r>
      <w:r w:rsidRPr="001C6283">
        <w:rPr>
          <w:rFonts w:ascii="Bookman Old Style" w:hAnsi="Bookman Old Style" w:cstheme="minorHAnsi"/>
          <w:lang w:eastAsia="pl-PL"/>
        </w:rPr>
        <w:t>11 września 2019 r</w:t>
      </w:r>
      <w:r w:rsidRPr="001C6283">
        <w:rPr>
          <w:rFonts w:ascii="Bookman Old Style" w:hAnsi="Bookman Old Style"/>
        </w:rPr>
        <w:t xml:space="preserve">. </w:t>
      </w:r>
      <w:r w:rsidRPr="001C6283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Pr="001C6283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Pr="001C6283">
        <w:rPr>
          <w:rFonts w:ascii="Bookman Old Style" w:hAnsi="Bookman Old Style"/>
        </w:rPr>
        <w:t>Wielkopolskie Centrum Pulmonologii i Torakochirurgii SP ZOZ udziela wyjaśnień dotyczących Specyfikacji Warunków Zamówienia.</w:t>
      </w: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1C6283" w:rsidRDefault="00321412" w:rsidP="001C6283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1C6283">
        <w:rPr>
          <w:rFonts w:ascii="Bookman Old Style" w:hAnsi="Bookman Old Style"/>
          <w:b/>
          <w:u w:val="single"/>
        </w:rPr>
        <w:t>Pytania</w:t>
      </w:r>
      <w:r w:rsidR="001C6283" w:rsidRPr="001C6283">
        <w:rPr>
          <w:rFonts w:ascii="Bookman Old Style" w:hAnsi="Bookman Old Style"/>
          <w:b/>
          <w:u w:val="single"/>
        </w:rPr>
        <w:t>: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1C6283">
        <w:rPr>
          <w:rFonts w:ascii="Bookman Old Style" w:hAnsi="Bookman Old Style"/>
          <w:b/>
          <w:u w:val="single"/>
        </w:rPr>
        <w:t xml:space="preserve">Pytania dotyczące pakietu nr 2 - Aparat USG do oceny i biopsji zmian opłucnowych i obwodowych guzów płuca – 1 szt. – Załącznik nr 1B - Tabela 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wysokiej klasy aparat USG: -  posiadający 19” w pełni dotykowy monitor LED,  </w:t>
      </w:r>
    </w:p>
    <w:p w:rsidR="001C6283" w:rsidRPr="001C6283" w:rsidRDefault="001C6283" w:rsidP="001C6283">
      <w:pPr>
        <w:numPr>
          <w:ilvl w:val="0"/>
          <w:numId w:val="35"/>
        </w:numPr>
        <w:spacing w:after="0" w:line="360" w:lineRule="auto"/>
        <w:ind w:left="0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zapewniający możliwość pracy na wbudowanych bateriach do 7 h,  </w:t>
      </w:r>
    </w:p>
    <w:p w:rsidR="001C6283" w:rsidRPr="001C6283" w:rsidRDefault="001C6283" w:rsidP="001C6283">
      <w:pPr>
        <w:numPr>
          <w:ilvl w:val="0"/>
          <w:numId w:val="35"/>
        </w:numPr>
        <w:spacing w:after="0" w:line="360" w:lineRule="auto"/>
        <w:ind w:left="0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posiadający elektrycznie sterowany wózek z wyświetlaczem informującym o naładowaniu baterii, </w:t>
      </w:r>
    </w:p>
    <w:p w:rsidR="001C6283" w:rsidRPr="001C6283" w:rsidRDefault="001C6283" w:rsidP="001C6283">
      <w:pPr>
        <w:numPr>
          <w:ilvl w:val="0"/>
          <w:numId w:val="35"/>
        </w:numPr>
        <w:spacing w:after="0" w:line="360" w:lineRule="auto"/>
        <w:ind w:left="0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z głowicami: liniową i </w:t>
      </w:r>
      <w:proofErr w:type="spellStart"/>
      <w:r w:rsidRPr="001C6283">
        <w:rPr>
          <w:rFonts w:ascii="Bookman Old Style" w:hAnsi="Bookman Old Style"/>
        </w:rPr>
        <w:t>convex</w:t>
      </w:r>
      <w:proofErr w:type="spellEnd"/>
      <w:r w:rsidRPr="001C6283">
        <w:rPr>
          <w:rFonts w:ascii="Bookman Old Style" w:hAnsi="Bookman Old Style"/>
        </w:rPr>
        <w:t xml:space="preserve"> wyposażonymi w przyciski umożliwiające sterowanie niektórymi funkcjami aparatu, </w:t>
      </w:r>
    </w:p>
    <w:p w:rsidR="001C6283" w:rsidRPr="001C6283" w:rsidRDefault="001C6283" w:rsidP="001C6283">
      <w:pPr>
        <w:numPr>
          <w:ilvl w:val="0"/>
          <w:numId w:val="35"/>
        </w:numPr>
        <w:spacing w:after="0" w:line="360" w:lineRule="auto"/>
        <w:ind w:left="0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z oprogramowaniem do wizualizacji igły biopsyjnej, ale w zakresie niżej wymienionych wymagań stawianych przez Zamawiającego posiadający rozbieżności?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pkt.2.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mobilny aparat ultrasonograficzny z pełną regulacją w formie panelu dotykowego wraz ze stolikiem jezdnym?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pkt.3.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lastRenderedPageBreak/>
        <w:t xml:space="preserve">Czy Zamawiający dopuści do postępowania aparat USG posiadający w pełni dotykowy 19” ekran zintegrowany z podstawą jezdną bez możliwości montażu/demontażu urządzenia bez narzędzi dodatkowych?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pkt.6.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zakresie pasma częstotliwości pracy aparatu: 2 - 18 </w:t>
      </w:r>
      <w:proofErr w:type="spellStart"/>
      <w:r w:rsidRPr="001C6283">
        <w:rPr>
          <w:rFonts w:ascii="Bookman Old Style" w:hAnsi="Bookman Old Style"/>
        </w:rPr>
        <w:t>MHz</w:t>
      </w:r>
      <w:proofErr w:type="spellEnd"/>
      <w:r w:rsidRPr="001C6283">
        <w:rPr>
          <w:rFonts w:ascii="Bookman Old Style" w:hAnsi="Bookman Old Style"/>
        </w:rPr>
        <w:t xml:space="preserve">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pkt.8.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mobilny aparat USG z możliwością pracy z akumulatora. Czas pracy z w pełni naładowanego akumulatora do 7 godz.?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pkt.10.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gotowości do pracy po włączeniu aparatu ze stanu całkowitego wyłączenia do 44 sek.?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pkt.12.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Ilości niezależnych kanałów procesowych 28672?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pkt.18.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posiadający możliwość archiwizacji danych pacjenta z przypisanymi obrazami statycznymi i dynamicznymi wraz z możliwością eksportu danych w trybach: BMP/JPG/PNG/DCM/AVI?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pkt.19.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posiadający 2 gniazda USB 3.0 do podłączania urządzeń zewnętrznych?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pkt.21.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posiadający możliwość ustawienia menu w języku polskim?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pkt.25.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kolorowym w pełni dotykowym monitorem typu LED?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pkt.36.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zakresie ustawienia głębokości penetracji 1 – 30 cm?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lastRenderedPageBreak/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pkt.37.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zakresie dynamiki dla obrazu 2D wyświetlanym na ekranie 180 </w:t>
      </w:r>
      <w:proofErr w:type="spellStart"/>
      <w:r w:rsidRPr="001C6283">
        <w:rPr>
          <w:rFonts w:ascii="Bookman Old Style" w:hAnsi="Bookman Old Style"/>
        </w:rPr>
        <w:t>dB</w:t>
      </w:r>
      <w:proofErr w:type="spellEnd"/>
      <w:r w:rsidRPr="001C6283">
        <w:rPr>
          <w:rFonts w:ascii="Bookman Old Style" w:hAnsi="Bookman Old Style"/>
        </w:rPr>
        <w:t xml:space="preserve">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pkt.38.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maksymalnej prędkość odświeżania w trybie 2D 357 </w:t>
      </w:r>
      <w:proofErr w:type="spellStart"/>
      <w:r w:rsidRPr="001C6283">
        <w:rPr>
          <w:rFonts w:ascii="Bookman Old Style" w:hAnsi="Bookman Old Style"/>
        </w:rPr>
        <w:t>obr</w:t>
      </w:r>
      <w:proofErr w:type="spellEnd"/>
      <w:r w:rsidRPr="001C6283">
        <w:rPr>
          <w:rFonts w:ascii="Bookman Old Style" w:hAnsi="Bookman Old Style"/>
        </w:rPr>
        <w:t xml:space="preserve">./sek.?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pkt.39.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możliwością kompensacji głębokościową (pozioma) wzmocnienia – 3 strefy (TGC) i LGC 2 strefy?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pkt.44.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o maksymalnej prędkość odświeżania w trybie CD 132 </w:t>
      </w:r>
      <w:proofErr w:type="spellStart"/>
      <w:r w:rsidRPr="001C6283">
        <w:rPr>
          <w:rFonts w:ascii="Bookman Old Style" w:hAnsi="Bookman Old Style"/>
        </w:rPr>
        <w:t>obr</w:t>
      </w:r>
      <w:proofErr w:type="spellEnd"/>
      <w:r w:rsidRPr="001C6283">
        <w:rPr>
          <w:rFonts w:ascii="Bookman Old Style" w:hAnsi="Bookman Old Style"/>
        </w:rPr>
        <w:t xml:space="preserve">./sek.?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pkt.45.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ilością map kolorów 8?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pkt.50.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prędkością przepływu w zakresie 2.7mm/s do 9.24 m/s?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pkt.54.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prędkością przepływu w zakresie 13.4mm/s do 38.5m/s?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pkt.58.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pakietem obliczeń automatycznych dla Dopplera – automatycznym obrysem spektrum oraz obliczeniami parametrów: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MV VTI, MV PHT, MVA(VTI), MV Dec Time, MR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MR VTI, LVOT VTI, AV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AV VTI, AV </w:t>
      </w:r>
      <w:proofErr w:type="spellStart"/>
      <w:r w:rsidRPr="001C6283">
        <w:rPr>
          <w:rFonts w:ascii="Bookman Old Style" w:hAnsi="Bookman Old Style"/>
        </w:rPr>
        <w:t>Acc</w:t>
      </w:r>
      <w:proofErr w:type="spellEnd"/>
      <w:r w:rsidRPr="001C6283">
        <w:rPr>
          <w:rFonts w:ascii="Bookman Old Style" w:hAnsi="Bookman Old Style"/>
        </w:rPr>
        <w:t xml:space="preserve"> Time, AV Dec Time, AVA(VTI), AVA(PHT), AR PHT, AR VTI, </w:t>
      </w:r>
      <w:proofErr w:type="spellStart"/>
      <w:r w:rsidRPr="001C6283">
        <w:rPr>
          <w:rFonts w:ascii="Bookman Old Style" w:hAnsi="Bookman Old Style"/>
        </w:rPr>
        <w:t>AAo</w:t>
      </w:r>
      <w:proofErr w:type="spellEnd"/>
      <w:r w:rsidRPr="001C6283">
        <w:rPr>
          <w:rFonts w:ascii="Bookman Old Style" w:hAnsi="Bookman Old Style"/>
        </w:rPr>
        <w:t xml:space="preserve">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</w:t>
      </w:r>
      <w:proofErr w:type="spellStart"/>
      <w:r w:rsidRPr="001C6283">
        <w:rPr>
          <w:rFonts w:ascii="Bookman Old Style" w:hAnsi="Bookman Old Style"/>
        </w:rPr>
        <w:t>DAo</w:t>
      </w:r>
      <w:proofErr w:type="spellEnd"/>
      <w:r w:rsidRPr="001C6283">
        <w:rPr>
          <w:rFonts w:ascii="Bookman Old Style" w:hAnsi="Bookman Old Style"/>
        </w:rPr>
        <w:t xml:space="preserve">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 TV VTI, TV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TR PHT, RVOT VTI, PV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PV VTI, PV </w:t>
      </w:r>
      <w:proofErr w:type="spellStart"/>
      <w:r w:rsidRPr="001C6283">
        <w:rPr>
          <w:rFonts w:ascii="Bookman Old Style" w:hAnsi="Bookman Old Style"/>
        </w:rPr>
        <w:t>Acc</w:t>
      </w:r>
      <w:proofErr w:type="spellEnd"/>
      <w:r w:rsidRPr="001C6283">
        <w:rPr>
          <w:rFonts w:ascii="Bookman Old Style" w:hAnsi="Bookman Old Style"/>
        </w:rPr>
        <w:t xml:space="preserve"> Time, PVA(PHT), MPA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RPA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, LPA </w:t>
      </w:r>
      <w:proofErr w:type="spellStart"/>
      <w:r w:rsidRPr="001C6283">
        <w:rPr>
          <w:rFonts w:ascii="Bookman Old Style" w:hAnsi="Bookman Old Style"/>
        </w:rPr>
        <w:t>Vmax</w:t>
      </w:r>
      <w:proofErr w:type="spellEnd"/>
      <w:r w:rsidRPr="001C6283">
        <w:rPr>
          <w:rFonts w:ascii="Bookman Old Style" w:hAnsi="Bookman Old Style"/>
        </w:rPr>
        <w:t xml:space="preserve">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pkt.59.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posiadający możliwość przesyłania raportów w formatach PDF/HTML?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lastRenderedPageBreak/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pkt.60.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automatycznego pomiaru IVC i możliwości prezentacji wyników  w formie wykresu?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pkt.61.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automatycznego pomiaru linii B i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automatycznego przedstawienia w formie koloru stopienia nasilenia procesu chorobowego?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pkt.62.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automatycznego pomiaru frakcji wyrzutowej za pomocą jednego przycisku?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pkt.71.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wieloczęstotliwościowym elektronicznym przetwornikiem typu </w:t>
      </w:r>
      <w:proofErr w:type="spellStart"/>
      <w:r w:rsidRPr="001C6283">
        <w:rPr>
          <w:rFonts w:ascii="Bookman Old Style" w:hAnsi="Bookman Old Style"/>
        </w:rPr>
        <w:t>convex</w:t>
      </w:r>
      <w:proofErr w:type="spellEnd"/>
      <w:r w:rsidRPr="001C6283">
        <w:rPr>
          <w:rFonts w:ascii="Bookman Old Style" w:hAnsi="Bookman Old Style"/>
        </w:rPr>
        <w:t xml:space="preserve"> z kątem pola obrazowego głowicy 70 stopni oraz posiadającym przyciski ułatwiające sterowanie niektórymi funkcjami aparatu?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pkt.74.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wieloczęstotliwościowym elektronicznym przetwornikiem typu </w:t>
      </w:r>
      <w:proofErr w:type="spellStart"/>
      <w:r w:rsidRPr="001C6283">
        <w:rPr>
          <w:rFonts w:ascii="Bookman Old Style" w:hAnsi="Bookman Old Style"/>
        </w:rPr>
        <w:t>convex</w:t>
      </w:r>
      <w:proofErr w:type="spellEnd"/>
      <w:r w:rsidRPr="001C6283">
        <w:rPr>
          <w:rFonts w:ascii="Bookman Old Style" w:hAnsi="Bookman Old Style"/>
        </w:rPr>
        <w:t xml:space="preserve"> o głębokości obrazowania do 30 cm oraz posiadającym przyciski ułatwiające sterowanie niektórymi funkcjami aparatu?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MOŻLIWOŚĆ ROZBUDOWY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pkt.83.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funkcję badania kardiologicznego z użyciem ultrasonograficznego środka kontrastowego LVO?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pkt.91.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funkcję głosowego sterowania aparatem?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pkt.92.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głowicę wieloczęstotliwościową elektroniczna o zakrzywionym czole głowicy </w:t>
      </w:r>
      <w:r w:rsidRPr="001C6283">
        <w:rPr>
          <w:rFonts w:ascii="Bookman Old Style" w:hAnsi="Bookman Old Style"/>
        </w:rPr>
        <w:lastRenderedPageBreak/>
        <w:t xml:space="preserve">współpracująca z Ciągłym Dopplerem lecz z głowicą wieloczęstotliwościowej elektroniczna o prostym czole głowicy współpracująca z Ciągłym Dopplerem?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pkt.96.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głowicę wieloczęstotliwościową elektroniczną o zakrzywionym czole głowicy lecz o prostym czole głowicy (brak promienia krzywizny)?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pkt.97.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możliwością rozbudowy o głowicę wieloczęstotliwościową elektroniczną o prostym czole głowicy i głębokości skanowania do 30 cm?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pkt.97.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z możliwością podłączenia głowic </w:t>
      </w:r>
      <w:proofErr w:type="spellStart"/>
      <w:r w:rsidRPr="001C6283">
        <w:rPr>
          <w:rFonts w:ascii="Bookman Old Style" w:hAnsi="Bookman Old Style"/>
        </w:rPr>
        <w:t>endocavitarnej</w:t>
      </w:r>
      <w:proofErr w:type="spellEnd"/>
      <w:r w:rsidRPr="001C6283">
        <w:rPr>
          <w:rFonts w:ascii="Bookman Old Style" w:hAnsi="Bookman Old Style"/>
        </w:rPr>
        <w:t xml:space="preserve">, liniowych w tym typu hokej, </w:t>
      </w:r>
      <w:proofErr w:type="spellStart"/>
      <w:r w:rsidRPr="001C6283">
        <w:rPr>
          <w:rFonts w:ascii="Bookman Old Style" w:hAnsi="Bookman Old Style"/>
        </w:rPr>
        <w:t>microconvex</w:t>
      </w:r>
      <w:proofErr w:type="spellEnd"/>
      <w:r w:rsidRPr="001C6283">
        <w:rPr>
          <w:rFonts w:ascii="Bookman Old Style" w:hAnsi="Bookman Old Style"/>
        </w:rPr>
        <w:t xml:space="preserve">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pkt.100.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funkcję automatycznego pomiaru grubości ścian żołądka wraz z pomiarem pola powierzchni?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 </w:t>
      </w: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pkt.101.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funkcję automatycznego pomiaru objętości pęcherza moczowego?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  <w:u w:val="single"/>
        </w:rPr>
        <w:t>Dotyczy</w:t>
      </w:r>
      <w:r w:rsidRPr="001C6283">
        <w:rPr>
          <w:rFonts w:ascii="Bookman Old Style" w:hAnsi="Bookman Old Style"/>
        </w:rPr>
        <w:t xml:space="preserve"> pkt.103. tabeli.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hAnsi="Bookman Old Style"/>
        </w:rPr>
        <w:t xml:space="preserve">Czy Zamawiający dopuści do postępowania aparat USG bez możliwości rozbudowy o funkcję  automatycznego pomiaru tętna płodu? 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  <w:u w:val="single"/>
        </w:rPr>
      </w:pPr>
      <w:r w:rsidRPr="001C6283">
        <w:rPr>
          <w:rFonts w:ascii="Bookman Old Style" w:hAnsi="Bookman Old Style"/>
          <w:b/>
          <w:color w:val="2E74B5" w:themeColor="accent1" w:themeShade="BF"/>
          <w:u w:val="single"/>
        </w:rPr>
        <w:t>Odpowiedź: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  <w:b/>
          <w:color w:val="2E74B5" w:themeColor="accent1" w:themeShade="BF"/>
          <w:u w:val="single"/>
        </w:rPr>
      </w:pPr>
      <w:r w:rsidRPr="001C6283">
        <w:rPr>
          <w:rFonts w:ascii="Bookman Old Style" w:hAnsi="Bookman Old Style"/>
          <w:b/>
          <w:color w:val="2E74B5" w:themeColor="accent1" w:themeShade="BF"/>
          <w:u w:val="single"/>
        </w:rPr>
        <w:t xml:space="preserve">Zamawiający pozostawia zapisy </w:t>
      </w:r>
      <w:r>
        <w:rPr>
          <w:rFonts w:ascii="Bookman Old Style" w:hAnsi="Bookman Old Style"/>
          <w:b/>
          <w:color w:val="2E74B5" w:themeColor="accent1" w:themeShade="BF"/>
          <w:u w:val="single"/>
        </w:rPr>
        <w:t>SWZ</w:t>
      </w:r>
      <w:r w:rsidRPr="001C6283">
        <w:rPr>
          <w:rFonts w:ascii="Bookman Old Style" w:hAnsi="Bookman Old Style"/>
          <w:b/>
          <w:color w:val="2E74B5" w:themeColor="accent1" w:themeShade="BF"/>
          <w:u w:val="single"/>
        </w:rPr>
        <w:t xml:space="preserve"> bez zmian.</w:t>
      </w:r>
    </w:p>
    <w:p w:rsidR="001C6283" w:rsidRPr="001C6283" w:rsidRDefault="001C6283" w:rsidP="001C6283">
      <w:pPr>
        <w:spacing w:after="0" w:line="360" w:lineRule="auto"/>
        <w:jc w:val="both"/>
        <w:rPr>
          <w:rFonts w:ascii="Bookman Old Style" w:hAnsi="Bookman Old Style"/>
        </w:rPr>
      </w:pPr>
      <w:r w:rsidRPr="001C6283">
        <w:rPr>
          <w:rFonts w:ascii="Bookman Old Style" w:eastAsia="Yu Gothic UI" w:hAnsi="Bookman Old Style" w:cs="Yu Gothic UI"/>
          <w:b/>
          <w:color w:val="FF0000"/>
        </w:rPr>
        <w:t xml:space="preserve"> </w:t>
      </w:r>
    </w:p>
    <w:p w:rsidR="006573EF" w:rsidRPr="001C6283" w:rsidRDefault="006573EF" w:rsidP="001C6283">
      <w:pPr>
        <w:spacing w:after="0" w:line="360" w:lineRule="auto"/>
        <w:jc w:val="both"/>
        <w:rPr>
          <w:rFonts w:ascii="Bookman Old Style" w:hAnsi="Bookman Old Style"/>
        </w:rPr>
      </w:pPr>
    </w:p>
    <w:sectPr w:rsidR="006573EF" w:rsidRPr="001C6283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283" w:rsidRDefault="001C6283" w:rsidP="00F92ECB">
      <w:pPr>
        <w:spacing w:after="0" w:line="240" w:lineRule="auto"/>
      </w:pPr>
      <w:r>
        <w:separator/>
      </w:r>
    </w:p>
  </w:endnote>
  <w:endnote w:type="continuationSeparator" w:id="0">
    <w:p w:rsidR="001C6283" w:rsidRDefault="001C628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83" w:rsidRDefault="001C6283">
    <w:pPr>
      <w:pStyle w:val="Stopka"/>
    </w:pPr>
    <w:fldSimple w:instr=" PAGE   \* MERGEFORMAT ">
      <w:r w:rsidR="00734362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283" w:rsidRDefault="001C6283" w:rsidP="00F92ECB">
      <w:pPr>
        <w:spacing w:after="0" w:line="240" w:lineRule="auto"/>
      </w:pPr>
      <w:r>
        <w:separator/>
      </w:r>
    </w:p>
  </w:footnote>
  <w:footnote w:type="continuationSeparator" w:id="0">
    <w:p w:rsidR="001C6283" w:rsidRDefault="001C628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83" w:rsidRDefault="001C62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4"/>
  </w:num>
  <w:num w:numId="14">
    <w:abstractNumId w:val="3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3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806F-196F-4C7B-B97A-34D100F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5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2021-04-16T11:53:00Z</cp:lastPrinted>
  <dcterms:created xsi:type="dcterms:W3CDTF">2021-09-24T08:09:00Z</dcterms:created>
  <dcterms:modified xsi:type="dcterms:W3CDTF">2021-09-24T08:13:00Z</dcterms:modified>
</cp:coreProperties>
</file>