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45" w:rsidRDefault="00E74F49">
      <w:pPr>
        <w:rPr>
          <w:rFonts w:ascii="Times New Roman" w:hAnsi="Times New Roman" w:cs="Times New Roman"/>
          <w:b/>
          <w:bCs/>
        </w:rPr>
      </w:pPr>
      <w:r w:rsidRPr="0069124B">
        <w:rPr>
          <w:rFonts w:ascii="Times New Roman" w:hAnsi="Times New Roman" w:cs="Times New Roman"/>
          <w:b/>
          <w:bCs/>
        </w:rPr>
        <w:t xml:space="preserve">Załącznik </w:t>
      </w:r>
      <w:r w:rsidR="006D4545">
        <w:rPr>
          <w:rFonts w:ascii="Times New Roman" w:hAnsi="Times New Roman" w:cs="Times New Roman"/>
          <w:b/>
          <w:bCs/>
        </w:rPr>
        <w:t>2b</w:t>
      </w:r>
    </w:p>
    <w:p w:rsidR="00CC66B0" w:rsidRPr="0069124B" w:rsidRDefault="00E74F49">
      <w:pPr>
        <w:rPr>
          <w:rFonts w:ascii="Times New Roman" w:hAnsi="Times New Roman" w:cs="Times New Roman"/>
          <w:b/>
          <w:bCs/>
        </w:rPr>
      </w:pPr>
      <w:r w:rsidRPr="0069124B">
        <w:rPr>
          <w:rFonts w:ascii="Times New Roman" w:hAnsi="Times New Roman" w:cs="Times New Roman"/>
          <w:b/>
          <w:bCs/>
        </w:rPr>
        <w:t xml:space="preserve"> </w:t>
      </w:r>
      <w:r w:rsidR="00B77F5A" w:rsidRPr="0069124B">
        <w:rPr>
          <w:rFonts w:ascii="Times New Roman" w:hAnsi="Times New Roman" w:cs="Times New Roman"/>
          <w:b/>
          <w:szCs w:val="24"/>
        </w:rPr>
        <w:t xml:space="preserve">Lista </w:t>
      </w:r>
      <w:r w:rsidR="00B77F5A" w:rsidRPr="0069124B">
        <w:rPr>
          <w:rFonts w:ascii="Times New Roman" w:hAnsi="Times New Roman" w:cs="Times New Roman"/>
          <w:b/>
          <w:szCs w:val="24"/>
        </w:rPr>
        <w:tab/>
        <w:t>wymaganych przeciwciał oraz wymagane względem nich parametry.</w:t>
      </w:r>
    </w:p>
    <w:p w:rsidR="00DE3F12" w:rsidRPr="0069124B" w:rsidRDefault="00974075" w:rsidP="006615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bookmarkStart w:id="0" w:name="_Hlk82993416"/>
      <w:r w:rsidRPr="0069124B">
        <w:rPr>
          <w:rFonts w:ascii="Times New Roman" w:hAnsi="Times New Roman" w:cs="Times New Roman"/>
          <w:b/>
          <w:bCs/>
        </w:rPr>
        <w:t>P</w:t>
      </w:r>
      <w:r w:rsidR="002B65EE">
        <w:rPr>
          <w:rFonts w:ascii="Times New Roman" w:hAnsi="Times New Roman" w:cs="Times New Roman"/>
          <w:b/>
          <w:bCs/>
        </w:rPr>
        <w:t>akiet</w:t>
      </w:r>
      <w:r w:rsidR="00DE3F12" w:rsidRPr="0069124B">
        <w:rPr>
          <w:rFonts w:ascii="Times New Roman" w:hAnsi="Times New Roman" w:cs="Times New Roman"/>
          <w:b/>
          <w:bCs/>
        </w:rPr>
        <w:t xml:space="preserve"> nr 1</w:t>
      </w:r>
      <w:r w:rsidR="0066158A" w:rsidRPr="0069124B">
        <w:rPr>
          <w:rFonts w:ascii="Times New Roman" w:hAnsi="Times New Roman" w:cs="Times New Roman"/>
          <w:b/>
          <w:bCs/>
        </w:rPr>
        <w:t xml:space="preserve"> - </w:t>
      </w:r>
      <w:r w:rsidR="00DE3F12" w:rsidRPr="0069124B">
        <w:rPr>
          <w:rFonts w:ascii="Times New Roman" w:hAnsi="Times New Roman" w:cs="Times New Roman"/>
          <w:b/>
          <w:bCs/>
        </w:rPr>
        <w:t>Panel diagnostyczny</w:t>
      </w:r>
      <w:r w:rsidR="0066357D" w:rsidRPr="0069124B">
        <w:rPr>
          <w:rFonts w:ascii="Times New Roman" w:hAnsi="Times New Roman" w:cs="Times New Roman"/>
          <w:b/>
          <w:bCs/>
        </w:rPr>
        <w:t xml:space="preserve"> i PDL1</w:t>
      </w:r>
    </w:p>
    <w:bookmarkEnd w:id="0"/>
    <w:p w:rsidR="0066357D" w:rsidRPr="0069124B" w:rsidRDefault="0066357D" w:rsidP="003B3DAD">
      <w:pPr>
        <w:pStyle w:val="Akapitzlist"/>
        <w:numPr>
          <w:ilvl w:val="0"/>
          <w:numId w:val="15"/>
        </w:numPr>
        <w:ind w:left="1418" w:hanging="425"/>
        <w:rPr>
          <w:rFonts w:ascii="Times New Roman" w:hAnsi="Times New Roman" w:cs="Times New Roman"/>
        </w:rPr>
      </w:pPr>
      <w:r w:rsidRPr="0069124B">
        <w:rPr>
          <w:rFonts w:ascii="Times New Roman" w:hAnsi="Times New Roman" w:cs="Times New Roman"/>
        </w:rPr>
        <w:t>Zamawiający  w momencie składania zamówienia będzie miał możliwość dokonania wyboru spośród wszystkich oferowanych przez Wykonawcę przeciwciał (minimum 200 pozycji) z tym, że na pewno dostępne będą przeciwciała podane poniżej:</w:t>
      </w:r>
    </w:p>
    <w:tbl>
      <w:tblPr>
        <w:tblStyle w:val="Tabela-Siatka"/>
        <w:tblW w:w="0" w:type="auto"/>
        <w:tblInd w:w="988" w:type="dxa"/>
        <w:tblLook w:val="04A0"/>
      </w:tblPr>
      <w:tblGrid>
        <w:gridCol w:w="1079"/>
        <w:gridCol w:w="3973"/>
      </w:tblGrid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AFP (</w:t>
            </w:r>
            <w:proofErr w:type="spellStart"/>
            <w:r w:rsidRPr="0069124B">
              <w:rPr>
                <w:rStyle w:val="Uwydatnienie"/>
                <w:rFonts w:ascii="Times New Roman" w:hAnsi="Times New Roman" w:cs="Times New Roman"/>
                <w:b w:val="0"/>
              </w:rPr>
              <w:t>Alpha</w:t>
            </w:r>
            <w:r w:rsidRPr="0069124B">
              <w:rPr>
                <w:rStyle w:val="ft"/>
                <w:rFonts w:ascii="Times New Roman" w:hAnsi="Times New Roman" w:cs="Times New Roman"/>
                <w:b/>
              </w:rPr>
              <w:t>-</w:t>
            </w:r>
            <w:r w:rsidRPr="0069124B">
              <w:rPr>
                <w:rStyle w:val="Uwydatnienie"/>
                <w:rFonts w:ascii="Times New Roman" w:hAnsi="Times New Roman" w:cs="Times New Roman"/>
                <w:b w:val="0"/>
              </w:rPr>
              <w:t>fetoprotein</w:t>
            </w:r>
            <w:proofErr w:type="spellEnd"/>
            <w:r w:rsidRPr="0069124B">
              <w:rPr>
                <w:rStyle w:val="Uwydatnienie"/>
                <w:rFonts w:ascii="Times New Roman" w:hAnsi="Times New Roman" w:cs="Times New Roman"/>
                <w:b w:val="0"/>
                <w:color w:val="444444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ALK-1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AMACR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Alfa-Inhibin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Bcl-2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Bcl-6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Beta-Catenin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Ca-125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CA19-9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Calcitonin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Calretinin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Caldesmon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CD117 (c-kit)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CD1a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CD20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972D3D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CD23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CD30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CD31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CD34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CD43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CD45 LCA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CD5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CD56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CD68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CD7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CD79a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CD8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CD99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CDX2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CEA (</w:t>
            </w:r>
            <w:proofErr w:type="spellStart"/>
            <w:r w:rsidRPr="0069124B">
              <w:rPr>
                <w:rFonts w:ascii="Times New Roman" w:hAnsi="Times New Roman" w:cs="Times New Roman"/>
              </w:rPr>
              <w:t>Carcinoembryonic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antygen)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Chromogranin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c-myc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Cyclin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D1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5/6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AE1/AE3 lub </w:t>
            </w:r>
            <w:proofErr w:type="spellStart"/>
            <w:r w:rsidRPr="0069124B">
              <w:rPr>
                <w:rFonts w:ascii="Times New Roman" w:hAnsi="Times New Roman" w:cs="Times New Roman"/>
              </w:rPr>
              <w:t>PanCK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Cytokeratin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HMW,  clone 34 βE12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Desmin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Desmoglein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DOG-1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E-Cadherin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 xml:space="preserve">EMA (epithelial membrane 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antygen</w:t>
            </w:r>
            <w:proofErr w:type="spellEnd"/>
            <w:r w:rsidRPr="0069124B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Epstein-Barr </w:t>
            </w:r>
            <w:proofErr w:type="spellStart"/>
            <w:r w:rsidRPr="0069124B">
              <w:rPr>
                <w:rFonts w:ascii="Times New Roman" w:hAnsi="Times New Roman" w:cs="Times New Roman"/>
              </w:rPr>
              <w:t>Virus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ERG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Estrogen Receptor α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Fascin</w:t>
            </w:r>
            <w:proofErr w:type="spellEnd"/>
          </w:p>
        </w:tc>
      </w:tr>
      <w:tr w:rsidR="00974075" w:rsidRPr="0069124B" w:rsidTr="007056E5">
        <w:tc>
          <w:tcPr>
            <w:tcW w:w="1079" w:type="dxa"/>
          </w:tcPr>
          <w:p w:rsidR="00974075" w:rsidRPr="0069124B" w:rsidRDefault="00974075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974075" w:rsidRPr="0069124B" w:rsidRDefault="00974075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Fli-1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GCDFP-15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Helicobacter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Kappa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Light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Chains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Ki67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Lambda </w:t>
            </w:r>
            <w:proofErr w:type="spellStart"/>
            <w:r w:rsidRPr="0069124B">
              <w:rPr>
                <w:rFonts w:ascii="Times New Roman" w:hAnsi="Times New Roman" w:cs="Times New Roman"/>
              </w:rPr>
              <w:t>Light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Chains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Mammoglobulin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Melan-A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Melanosome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HMB45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Mesothelin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124B">
              <w:rPr>
                <w:rFonts w:ascii="Times New Roman" w:hAnsi="Times New Roman" w:cs="Times New Roman"/>
              </w:rPr>
              <w:t>Mesothelial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cell</w:t>
            </w:r>
            <w:proofErr w:type="spellEnd"/>
            <w:r w:rsidRPr="0069124B">
              <w:rPr>
                <w:rFonts w:ascii="Times New Roman" w:hAnsi="Times New Roman" w:cs="Times New Roman"/>
              </w:rPr>
              <w:t>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MUM-1 Protein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Myo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D1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Myogenin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Napsin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p40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p53 clone DO-7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p63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PAX8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Podoplanina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, clone D2-40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Progesterone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Receptor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PSA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 xml:space="preserve">RCC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S-100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SMA (smooth muscle action)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Sox-10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STAT6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Synaptophysin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Thyreoglobulin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Trombomodulin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Triple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24B">
              <w:rPr>
                <w:rFonts w:ascii="Times New Roman" w:hAnsi="Times New Roman" w:cs="Times New Roman"/>
              </w:rPr>
              <w:t>Melan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r w:rsidRPr="0069124B">
              <w:rPr>
                <w:rFonts w:ascii="Times New Roman" w:hAnsi="Times New Roman" w:cs="Times New Roman"/>
              </w:rPr>
              <w:t>TTF-1 clone SPT24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Uroplakina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III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9124B">
              <w:rPr>
                <w:rFonts w:ascii="Times New Roman" w:hAnsi="Times New Roman" w:cs="Times New Roman"/>
              </w:rPr>
              <w:t>Vimentin</w:t>
            </w:r>
            <w:proofErr w:type="spellEnd"/>
            <w:r w:rsidRPr="006912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WT1 (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Wilm’s</w:t>
            </w:r>
            <w:proofErr w:type="spellEnd"/>
            <w:r w:rsidRPr="0069124B">
              <w:rPr>
                <w:rFonts w:ascii="Times New Roman" w:hAnsi="Times New Roman" w:cs="Times New Roman"/>
                <w:lang w:val="en-US"/>
              </w:rPr>
              <w:t xml:space="preserve"> Tumor 1 Protein) 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CD138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TdT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PAX5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Hepatocyte/HSA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CD21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GATA3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Factor VIII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p16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Beta-</w:t>
            </w: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hCG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NSE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BAP1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SALL4</w:t>
            </w:r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24B">
              <w:rPr>
                <w:rFonts w:ascii="Times New Roman" w:hAnsi="Times New Roman" w:cs="Times New Roman"/>
                <w:lang w:val="en-US"/>
              </w:rPr>
              <w:t>Glipikan</w:t>
            </w:r>
            <w:proofErr w:type="spellEnd"/>
          </w:p>
        </w:tc>
      </w:tr>
      <w:tr w:rsidR="003727B2" w:rsidRPr="0069124B" w:rsidTr="007056E5">
        <w:tc>
          <w:tcPr>
            <w:tcW w:w="1079" w:type="dxa"/>
          </w:tcPr>
          <w:p w:rsidR="003727B2" w:rsidRPr="0069124B" w:rsidRDefault="003727B2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3727B2" w:rsidRPr="0069124B" w:rsidRDefault="003727B2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BOB1</w:t>
            </w:r>
          </w:p>
        </w:tc>
      </w:tr>
      <w:tr w:rsidR="005A6673" w:rsidRPr="0069124B" w:rsidTr="007056E5">
        <w:tc>
          <w:tcPr>
            <w:tcW w:w="1079" w:type="dxa"/>
          </w:tcPr>
          <w:p w:rsidR="005A6673" w:rsidRPr="0069124B" w:rsidRDefault="005A6673" w:rsidP="007056E5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5A6673" w:rsidRPr="0069124B" w:rsidRDefault="005A6673" w:rsidP="00EC21CA">
            <w:pPr>
              <w:pStyle w:val="Akapitzlist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69124B">
              <w:rPr>
                <w:rFonts w:ascii="Times New Roman" w:hAnsi="Times New Roman" w:cs="Times New Roman"/>
                <w:lang w:val="en-US"/>
              </w:rPr>
              <w:t>PDL-1</w:t>
            </w:r>
          </w:p>
        </w:tc>
      </w:tr>
    </w:tbl>
    <w:p w:rsidR="00FB11BF" w:rsidRPr="0069124B" w:rsidRDefault="00FB11BF" w:rsidP="00DE3F12">
      <w:pPr>
        <w:pStyle w:val="Akapitzlist"/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82993745"/>
      <w:r w:rsidRPr="0069124B">
        <w:rPr>
          <w:rFonts w:ascii="Times New Roman" w:hAnsi="Times New Roman" w:cs="Times New Roman"/>
          <w:sz w:val="24"/>
          <w:szCs w:val="24"/>
        </w:rPr>
        <w:t xml:space="preserve">Dostarczone odczynniki i materiały (przeciwciała, system wizualizacyjny, bufory) powinny być tak skalkulowane aby można było wykonać 17000 oznaczeń IHC w czasie trwania umowy (tj. 12 miesięcy) bez względu na umiejscowienie i wielkość skrawka badanego materiału. 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Kalkulacja ilości zużycia przeciwciał powinno uwzględniać tzw. martwą strefę (obszar opakowania zawierających odczynnik/przeciwciało niewykorzystane przez aparat) w dostarczonych opakowaniach.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Zestaw do wizualizacji będzie zawierał (lub będzie rozszerzony o) szkiełka dostosowane do barwień IHC  (szkiełka zapobiegające spływaniu preparatów podczas obróbki cieplnej), szkiełka nakrywkowe oraz balsam do naklejania w ilości wystarczającej do wykonania 17000 oznaczeń.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Termin ważności zamawianych odczynników</w:t>
      </w:r>
      <w:r w:rsidR="00974075" w:rsidRPr="0069124B">
        <w:rPr>
          <w:rFonts w:ascii="Times New Roman" w:hAnsi="Times New Roman" w:cs="Times New Roman"/>
          <w:sz w:val="24"/>
          <w:szCs w:val="24"/>
        </w:rPr>
        <w:t xml:space="preserve"> – co najmniej pół roku od daty </w:t>
      </w:r>
      <w:r w:rsidRPr="0069124B">
        <w:rPr>
          <w:rFonts w:ascii="Times New Roman" w:hAnsi="Times New Roman" w:cs="Times New Roman"/>
          <w:sz w:val="24"/>
          <w:szCs w:val="24"/>
        </w:rPr>
        <w:t>dostawy.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Każdy z odczynników winien być opatrzony certyfikatem zezwalającym na stosowanie w diagnostyce oraz zaopatrzony w ulotkę w języku polskim.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Dostarczenie kart charakterystyk substancji niebezpiecznych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lub umożliwienie d</w:t>
      </w:r>
      <w:r w:rsidR="002B65EE">
        <w:rPr>
          <w:rFonts w:ascii="Times New Roman" w:hAnsi="Times New Roman" w:cs="Times New Roman"/>
          <w:sz w:val="24"/>
          <w:szCs w:val="24"/>
        </w:rPr>
        <w:t>ostępu w postaci elektronicznej (do umowy)</w:t>
      </w:r>
      <w:r w:rsidRPr="0069124B">
        <w:rPr>
          <w:rFonts w:ascii="Times New Roman" w:hAnsi="Times New Roman" w:cs="Times New Roman"/>
          <w:sz w:val="24"/>
          <w:szCs w:val="24"/>
        </w:rPr>
        <w:t>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Przeciwciała pierwotne w gotowych do użycia rozcieńczeniach (RTU) w pojemnikach umożliwiających bezpośrednie ich użycie bez potrzeby przelewania (wyjątek przeciwciała innych firm – w przypadku braku we własnej ofercie, dopuszcza się możliwość przelewania, oraz przeciwciała stężone (maksymalnie </w:t>
      </w:r>
      <w:r w:rsidR="005A6673" w:rsidRPr="0069124B">
        <w:rPr>
          <w:rFonts w:ascii="Times New Roman" w:hAnsi="Times New Roman" w:cs="Times New Roman"/>
          <w:sz w:val="24"/>
          <w:szCs w:val="24"/>
        </w:rPr>
        <w:t>3</w:t>
      </w:r>
      <w:r w:rsidRPr="0069124B">
        <w:rPr>
          <w:rFonts w:ascii="Times New Roman" w:hAnsi="Times New Roman" w:cs="Times New Roman"/>
          <w:sz w:val="24"/>
          <w:szCs w:val="24"/>
        </w:rPr>
        <w:t xml:space="preserve"> sztuki) – dopuszcza się pod warunkiem dostarczenia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diluentu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do wykonania rozcieńczeń i odpowiednich akcesoriów celem dostosowania przeciwciał do stosowania w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autostainerach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Wykonawca zaoferuje przeciwciała, których klony są pozytywnie zaopiniowane przez przynajmniej jeden z niezależnych ośrodków  kontroli.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 przypadku braku przeciwciała pozytywnie zaopiniowanego przez niezależny ośrodek kontroli jakości dopuszcza się zaoferowanie w zastępstwie przeciwciała innej firmy (pod warunkiem możliwości dostosowania tegoż do procesu automatycznego barwienia na zaoferowanym urządzeniu).</w:t>
      </w:r>
    </w:p>
    <w:p w:rsidR="0066357D" w:rsidRPr="0069124B" w:rsidRDefault="0066357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Niezależna zewnętrzna kontrola jakości polegająca na: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uczestnictwie w testach weryfikujących jakość barwień laboratorium zapewnionych przez niezależny ośrodek z co najmniej pięcioletnim doświadczeniem w więcej niż jednym kraju europejskim (np.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NordiQC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 - kontrola jakości obejmująca panel – ogólny.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uczestnictwie w testach certyfikujących wykonywanie oznaczeń predykcyjnych – PDL-1 w ESP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EQA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).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100% pokryciu wszystkich kosztów związanych z kontrolą jakości i certyfikacją.</w:t>
      </w:r>
    </w:p>
    <w:p w:rsidR="0066357D" w:rsidRPr="0069124B" w:rsidRDefault="0066357D" w:rsidP="003B3DAD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poradnictwie w zakresie wyboru przeciwciał i ustawiania protokołów diagnostycznych</w:t>
      </w:r>
    </w:p>
    <w:p w:rsidR="003B3DAD" w:rsidRPr="0069124B" w:rsidRDefault="003B3DAD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W przypadku przeciwciała predykcyjnego PDL-1 dostarczone odczynniki i materiały (przeciwciała, system wizualizacyjny, bufory) powinny być tak skalkulowane aby </w:t>
      </w:r>
      <w:r w:rsidRPr="0069124B">
        <w:rPr>
          <w:rFonts w:ascii="Times New Roman" w:hAnsi="Times New Roman" w:cs="Times New Roman"/>
          <w:sz w:val="24"/>
          <w:szCs w:val="24"/>
        </w:rPr>
        <w:lastRenderedPageBreak/>
        <w:t xml:space="preserve">można było wykonać 500 oznaczeń w czasie trwania umowy (tj. 12 miesięcy) bez względu na umiejscowienie i wielkość skrawka badanego materiału. </w:t>
      </w:r>
    </w:p>
    <w:p w:rsidR="00DE3F12" w:rsidRPr="0069124B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 przypadku przeciwciała PDL-1 wykonawca zaoferuje przeciwciało, którego klon jest pozytywnie zaopiniowany przez Ministerstwo Zdrowia do stosowania w aktualnym programie lekowym w NSCL.</w:t>
      </w:r>
    </w:p>
    <w:p w:rsidR="00536308" w:rsidRPr="0069124B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Przeciwciało predykcyjne PDL-1 tylko w formie RTU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wraz z odpowiednim dedykowanym mu systemem wizualizacyjnym.</w:t>
      </w:r>
    </w:p>
    <w:p w:rsidR="00536308" w:rsidRPr="0069124B" w:rsidRDefault="00536308" w:rsidP="003B3D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W przypadku przeciwciała PDL-1 dostarczone będzie też przeciwciało w postaci kontroli negatywnej dedykowanej dla PDL-1 w ilości wystarczającej do wykonania 500 oznaczeń. </w:t>
      </w:r>
    </w:p>
    <w:bookmarkEnd w:id="1"/>
    <w:p w:rsidR="0066158A" w:rsidRPr="0069124B" w:rsidRDefault="0066158A" w:rsidP="00974075">
      <w:pPr>
        <w:pStyle w:val="Akapitzlist"/>
        <w:autoSpaceDE w:val="0"/>
        <w:autoSpaceDN w:val="0"/>
        <w:adjustRightInd w:val="0"/>
        <w:spacing w:before="0" w:line="276" w:lineRule="auto"/>
        <w:ind w:left="2149" w:firstLine="0"/>
        <w:rPr>
          <w:rFonts w:ascii="Times New Roman" w:hAnsi="Times New Roman" w:cs="Times New Roman"/>
          <w:sz w:val="24"/>
          <w:szCs w:val="24"/>
        </w:rPr>
      </w:pPr>
    </w:p>
    <w:p w:rsidR="0066158A" w:rsidRPr="0069124B" w:rsidRDefault="0066158A" w:rsidP="003B3DAD">
      <w:pPr>
        <w:autoSpaceDE w:val="0"/>
        <w:autoSpaceDN w:val="0"/>
        <w:adjustRightInd w:val="0"/>
        <w:spacing w:before="0" w:line="276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•</w:t>
      </w:r>
      <w:r w:rsidR="003B3DAD" w:rsidRPr="0069124B">
        <w:rPr>
          <w:rFonts w:ascii="Times New Roman" w:hAnsi="Times New Roman" w:cs="Times New Roman"/>
          <w:sz w:val="24"/>
          <w:szCs w:val="24"/>
        </w:rPr>
        <w:t xml:space="preserve"> </w:t>
      </w:r>
      <w:r w:rsidR="003B3DAD" w:rsidRPr="0069124B">
        <w:rPr>
          <w:rFonts w:ascii="Times New Roman" w:hAnsi="Times New Roman" w:cs="Times New Roman"/>
          <w:b/>
          <w:sz w:val="24"/>
          <w:szCs w:val="24"/>
        </w:rPr>
        <w:t>Pa</w:t>
      </w:r>
      <w:r w:rsidR="003A7FB1">
        <w:rPr>
          <w:rFonts w:ascii="Times New Roman" w:hAnsi="Times New Roman" w:cs="Times New Roman"/>
          <w:b/>
          <w:sz w:val="24"/>
          <w:szCs w:val="24"/>
        </w:rPr>
        <w:t>kiet</w:t>
      </w:r>
      <w:r w:rsidRPr="0069124B">
        <w:rPr>
          <w:rFonts w:ascii="Times New Roman" w:hAnsi="Times New Roman" w:cs="Times New Roman"/>
          <w:b/>
          <w:bCs/>
          <w:sz w:val="24"/>
          <w:szCs w:val="24"/>
        </w:rPr>
        <w:t xml:space="preserve"> nr 2 - Panel predykcyjny – przeciwciała ALK i ROS1.</w:t>
      </w:r>
    </w:p>
    <w:p w:rsidR="003B3DAD" w:rsidRPr="0069124B" w:rsidRDefault="003B3DAD" w:rsidP="003B3DAD">
      <w:pPr>
        <w:autoSpaceDE w:val="0"/>
        <w:autoSpaceDN w:val="0"/>
        <w:adjustRightInd w:val="0"/>
        <w:spacing w:before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Dostarczone odczynniki i materiały (przeciwciała, system wizualizacyjny, bufory) powinny być tak skalkulowane aby można było wykonać 500 oznaczeń IHC przeciwciała ALK i 500 oznaczeń IHC przeciwciała ROS1w czasie trwania umowy (tj. 12 miesięcy) bez względu na umiejscowienie i wielkość skrawka badanego materiału. 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Kalkulacja ilości zużycia przeciwciał powinno uwzględniać tzw. martwą strefę (obszar opakowania zawierających odczynnik/przeciwciało niewykorzystane przez aparat) w dostarczonych opakowaniach.</w:t>
      </w:r>
    </w:p>
    <w:p w:rsidR="00943042" w:rsidRPr="0069124B" w:rsidRDefault="00943042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Dostarczone będzie też przeciwciało w postaci kontroli negatywnej dedykowanej dla ALK oraz ROS1 w ilości wystarczającej do wykonania 500 oznaczeń dla każdego z wymienionych przeciwciał.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Zestaw do wizualizacji będzie zawierał (lub będzie rozszerzony o) szkiełka dostosowane do barwień IHC  (szkiełka zapobiegające spływaniu preparatów podczas obróbki cieplnej), szkiełka nakrywkowe oraz balsam do naklejania w ilości wystarczającej do wykonania </w:t>
      </w:r>
      <w:r w:rsidR="00943042" w:rsidRPr="0069124B">
        <w:rPr>
          <w:rFonts w:ascii="Times New Roman" w:hAnsi="Times New Roman" w:cs="Times New Roman"/>
          <w:sz w:val="24"/>
          <w:szCs w:val="24"/>
        </w:rPr>
        <w:t>2</w:t>
      </w:r>
      <w:r w:rsidRPr="0069124B">
        <w:rPr>
          <w:rFonts w:ascii="Times New Roman" w:hAnsi="Times New Roman" w:cs="Times New Roman"/>
          <w:sz w:val="24"/>
          <w:szCs w:val="24"/>
        </w:rPr>
        <w:t>000 oznaczeń.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Termin ważności zamawianych odczynników – co najmniej pół roku od daty dostawy.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Każdy z odczynników winien być opatrzony certyfikatem zezwalającym na stosowanie w diagnostyce oraz zaopatrzony w ulotkę w języku polskim.</w:t>
      </w:r>
    </w:p>
    <w:p w:rsidR="00943042" w:rsidRPr="0069124B" w:rsidRDefault="00943042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Wykonawca zaoferuje przeciwciała, których klony są pozytywnie zaopiniowane przez Ministerstwo Zdrowia do stosowania w aktualnym programie lekowym w NSCL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>Dostarczenie kart charakterystyk substancji niebezpiecznych</w:t>
      </w:r>
      <w:r w:rsidR="005A6673" w:rsidRPr="0069124B">
        <w:rPr>
          <w:rFonts w:ascii="Times New Roman" w:hAnsi="Times New Roman" w:cs="Times New Roman"/>
          <w:sz w:val="24"/>
          <w:szCs w:val="24"/>
        </w:rPr>
        <w:t xml:space="preserve"> lub umożliwienie elektronicznego dostępu do tych danych</w:t>
      </w:r>
      <w:r w:rsidRPr="0069124B">
        <w:rPr>
          <w:rFonts w:ascii="Times New Roman" w:hAnsi="Times New Roman" w:cs="Times New Roman"/>
          <w:sz w:val="24"/>
          <w:szCs w:val="24"/>
        </w:rPr>
        <w:t>.</w:t>
      </w:r>
    </w:p>
    <w:p w:rsidR="00943042" w:rsidRPr="0069124B" w:rsidRDefault="00695855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Przeciwciała </w:t>
      </w:r>
      <w:r w:rsidR="00943042" w:rsidRPr="0069124B">
        <w:rPr>
          <w:rFonts w:ascii="Times New Roman" w:hAnsi="Times New Roman" w:cs="Times New Roman"/>
          <w:sz w:val="24"/>
          <w:szCs w:val="24"/>
        </w:rPr>
        <w:t>ALK i ROS1 oraz dedykowane kontrole negatywne</w:t>
      </w:r>
      <w:r w:rsidRPr="0069124B">
        <w:rPr>
          <w:rFonts w:ascii="Times New Roman" w:hAnsi="Times New Roman" w:cs="Times New Roman"/>
          <w:sz w:val="24"/>
          <w:szCs w:val="24"/>
        </w:rPr>
        <w:t xml:space="preserve"> w gotowych do użycia rozcieńczeniach (RTU) w pojemnikach umożliwiających bezpośrednie ich użycie bez potrzeby przelewania</w:t>
      </w:r>
      <w:r w:rsidR="00943042" w:rsidRPr="0069124B">
        <w:rPr>
          <w:rFonts w:ascii="Times New Roman" w:hAnsi="Times New Roman" w:cs="Times New Roman"/>
          <w:sz w:val="24"/>
          <w:szCs w:val="24"/>
        </w:rPr>
        <w:t>.</w:t>
      </w:r>
    </w:p>
    <w:p w:rsidR="00943042" w:rsidRPr="0069124B" w:rsidRDefault="00943042" w:rsidP="003B3DA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9124B">
        <w:rPr>
          <w:rFonts w:ascii="Times New Roman" w:hAnsi="Times New Roman" w:cs="Times New Roman"/>
          <w:sz w:val="24"/>
          <w:szCs w:val="24"/>
        </w:rPr>
        <w:t xml:space="preserve">uczestnictwo w testach certyfikujących wykonywanie oznaczeń predykcyjnych – ALK i ROS1 w ESP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EQA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Lung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24B">
        <w:rPr>
          <w:rFonts w:ascii="Times New Roman" w:hAnsi="Times New Roman" w:cs="Times New Roman"/>
          <w:sz w:val="24"/>
          <w:szCs w:val="24"/>
        </w:rPr>
        <w:t>Scheme</w:t>
      </w:r>
      <w:proofErr w:type="spellEnd"/>
      <w:r w:rsidRPr="0069124B">
        <w:rPr>
          <w:rFonts w:ascii="Times New Roman" w:hAnsi="Times New Roman" w:cs="Times New Roman"/>
          <w:sz w:val="24"/>
          <w:szCs w:val="24"/>
        </w:rPr>
        <w:t>).</w:t>
      </w:r>
    </w:p>
    <w:p w:rsidR="00943042" w:rsidRPr="00473E3F" w:rsidRDefault="00943042" w:rsidP="0094304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73E3F">
        <w:rPr>
          <w:rFonts w:ascii="Times New Roman" w:hAnsi="Times New Roman" w:cs="Times New Roman"/>
          <w:sz w:val="24"/>
          <w:szCs w:val="24"/>
        </w:rPr>
        <w:t>P</w:t>
      </w:r>
      <w:r w:rsidR="00695855" w:rsidRPr="00473E3F">
        <w:rPr>
          <w:rFonts w:ascii="Times New Roman" w:hAnsi="Times New Roman" w:cs="Times New Roman"/>
          <w:sz w:val="24"/>
          <w:szCs w:val="24"/>
        </w:rPr>
        <w:t>okryciu wszystkich kosztów związanych z certyfikacją.</w:t>
      </w:r>
    </w:p>
    <w:p w:rsidR="0066158A" w:rsidRPr="0069124B" w:rsidRDefault="0066158A" w:rsidP="00695855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6158A" w:rsidRPr="0069124B" w:rsidSect="004644A8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3FF"/>
    <w:multiLevelType w:val="hybridMultilevel"/>
    <w:tmpl w:val="DAA2107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C9666F"/>
    <w:multiLevelType w:val="hybridMultilevel"/>
    <w:tmpl w:val="151C59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BD401D"/>
    <w:multiLevelType w:val="hybridMultilevel"/>
    <w:tmpl w:val="D76CDC38"/>
    <w:lvl w:ilvl="0" w:tplc="D9EE1E3C">
      <w:start w:val="2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>
    <w:nsid w:val="0D937A14"/>
    <w:multiLevelType w:val="hybridMultilevel"/>
    <w:tmpl w:val="2D9628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DB0D09"/>
    <w:multiLevelType w:val="hybridMultilevel"/>
    <w:tmpl w:val="6A54836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CCE34D1"/>
    <w:multiLevelType w:val="hybridMultilevel"/>
    <w:tmpl w:val="D1FC2BF0"/>
    <w:lvl w:ilvl="0" w:tplc="D9EE1E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65E98"/>
    <w:multiLevelType w:val="hybridMultilevel"/>
    <w:tmpl w:val="90EC4C7C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26D1620A"/>
    <w:multiLevelType w:val="hybridMultilevel"/>
    <w:tmpl w:val="D12E6D68"/>
    <w:lvl w:ilvl="0" w:tplc="2342DF76">
      <w:start w:val="1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365994"/>
    <w:multiLevelType w:val="hybridMultilevel"/>
    <w:tmpl w:val="72E4FF90"/>
    <w:lvl w:ilvl="0" w:tplc="D60642CE">
      <w:start w:val="2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80EE0"/>
    <w:multiLevelType w:val="hybridMultilevel"/>
    <w:tmpl w:val="D7DE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6423A"/>
    <w:multiLevelType w:val="hybridMultilevel"/>
    <w:tmpl w:val="D526A994"/>
    <w:lvl w:ilvl="0" w:tplc="D60642CE">
      <w:start w:val="2"/>
      <w:numFmt w:val="lowerLetter"/>
      <w:lvlText w:val="%1."/>
      <w:lvlJc w:val="left"/>
      <w:pPr>
        <w:ind w:left="3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>
    <w:nsid w:val="5EB645BF"/>
    <w:multiLevelType w:val="hybridMultilevel"/>
    <w:tmpl w:val="E1504F8C"/>
    <w:lvl w:ilvl="0" w:tplc="1D2A2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47701"/>
    <w:multiLevelType w:val="hybridMultilevel"/>
    <w:tmpl w:val="D178A340"/>
    <w:lvl w:ilvl="0" w:tplc="54BAC47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816F67"/>
    <w:multiLevelType w:val="hybridMultilevel"/>
    <w:tmpl w:val="23B66296"/>
    <w:lvl w:ilvl="0" w:tplc="D9EE1E3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DF23515"/>
    <w:multiLevelType w:val="hybridMultilevel"/>
    <w:tmpl w:val="A3EA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D010C"/>
    <w:multiLevelType w:val="hybridMultilevel"/>
    <w:tmpl w:val="CE5A0A96"/>
    <w:lvl w:ilvl="0" w:tplc="D60642CE">
      <w:start w:val="2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2495F"/>
    <w:multiLevelType w:val="hybridMultilevel"/>
    <w:tmpl w:val="DAEADE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491F0A"/>
    <w:multiLevelType w:val="hybridMultilevel"/>
    <w:tmpl w:val="1A8E1924"/>
    <w:lvl w:ilvl="0" w:tplc="846EFE0E">
      <w:start w:val="2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>
    <w:nsid w:val="7E9E5315"/>
    <w:multiLevelType w:val="hybridMultilevel"/>
    <w:tmpl w:val="10481236"/>
    <w:lvl w:ilvl="0" w:tplc="54BAC47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8"/>
  </w:num>
  <w:num w:numId="5">
    <w:abstractNumId w:val="3"/>
  </w:num>
  <w:num w:numId="6">
    <w:abstractNumId w:val="4"/>
  </w:num>
  <w:num w:numId="7">
    <w:abstractNumId w:val="15"/>
  </w:num>
  <w:num w:numId="8">
    <w:abstractNumId w:val="0"/>
  </w:num>
  <w:num w:numId="9">
    <w:abstractNumId w:val="1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7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F49"/>
    <w:rsid w:val="00084D5D"/>
    <w:rsid w:val="000E0CE3"/>
    <w:rsid w:val="0012513A"/>
    <w:rsid w:val="00125C9D"/>
    <w:rsid w:val="00153A3F"/>
    <w:rsid w:val="00162BA0"/>
    <w:rsid w:val="00187C9B"/>
    <w:rsid w:val="00196794"/>
    <w:rsid w:val="001A36C4"/>
    <w:rsid w:val="001B3A27"/>
    <w:rsid w:val="002625DF"/>
    <w:rsid w:val="002A74E6"/>
    <w:rsid w:val="002B65EE"/>
    <w:rsid w:val="002F7F04"/>
    <w:rsid w:val="00321C8E"/>
    <w:rsid w:val="003727B2"/>
    <w:rsid w:val="003A29F7"/>
    <w:rsid w:val="003A7FB1"/>
    <w:rsid w:val="003B3DAD"/>
    <w:rsid w:val="003C1332"/>
    <w:rsid w:val="003D1A02"/>
    <w:rsid w:val="00410EF8"/>
    <w:rsid w:val="00433B12"/>
    <w:rsid w:val="00447021"/>
    <w:rsid w:val="004644A8"/>
    <w:rsid w:val="00473E3F"/>
    <w:rsid w:val="00476B04"/>
    <w:rsid w:val="00521B65"/>
    <w:rsid w:val="00534CD3"/>
    <w:rsid w:val="00536308"/>
    <w:rsid w:val="00593253"/>
    <w:rsid w:val="005A6673"/>
    <w:rsid w:val="005C7CF3"/>
    <w:rsid w:val="005D3034"/>
    <w:rsid w:val="005D7B0F"/>
    <w:rsid w:val="0066158A"/>
    <w:rsid w:val="0066357D"/>
    <w:rsid w:val="0069124B"/>
    <w:rsid w:val="00695855"/>
    <w:rsid w:val="006A0906"/>
    <w:rsid w:val="006A40E7"/>
    <w:rsid w:val="006B0650"/>
    <w:rsid w:val="006D4545"/>
    <w:rsid w:val="006E5BFE"/>
    <w:rsid w:val="007056E5"/>
    <w:rsid w:val="00711EF6"/>
    <w:rsid w:val="007201DC"/>
    <w:rsid w:val="00723727"/>
    <w:rsid w:val="00757D52"/>
    <w:rsid w:val="00760903"/>
    <w:rsid w:val="007E4DC1"/>
    <w:rsid w:val="00804693"/>
    <w:rsid w:val="008133ED"/>
    <w:rsid w:val="00817083"/>
    <w:rsid w:val="008227CD"/>
    <w:rsid w:val="008350AD"/>
    <w:rsid w:val="0087357E"/>
    <w:rsid w:val="008A6994"/>
    <w:rsid w:val="008B63FD"/>
    <w:rsid w:val="008B7247"/>
    <w:rsid w:val="008D0322"/>
    <w:rsid w:val="008D5E71"/>
    <w:rsid w:val="0090449B"/>
    <w:rsid w:val="00917923"/>
    <w:rsid w:val="00943042"/>
    <w:rsid w:val="00953BA0"/>
    <w:rsid w:val="00966B9D"/>
    <w:rsid w:val="00972D3D"/>
    <w:rsid w:val="00974075"/>
    <w:rsid w:val="0097572A"/>
    <w:rsid w:val="00975CB4"/>
    <w:rsid w:val="00980D7F"/>
    <w:rsid w:val="009939DA"/>
    <w:rsid w:val="00997D48"/>
    <w:rsid w:val="009C1CAC"/>
    <w:rsid w:val="009E06C3"/>
    <w:rsid w:val="00A54EEF"/>
    <w:rsid w:val="00AE17BA"/>
    <w:rsid w:val="00AF2615"/>
    <w:rsid w:val="00B03456"/>
    <w:rsid w:val="00B11C8D"/>
    <w:rsid w:val="00B26A75"/>
    <w:rsid w:val="00B77F5A"/>
    <w:rsid w:val="00BB157D"/>
    <w:rsid w:val="00BE6D7C"/>
    <w:rsid w:val="00BE6FE7"/>
    <w:rsid w:val="00C102F5"/>
    <w:rsid w:val="00C11B04"/>
    <w:rsid w:val="00C32433"/>
    <w:rsid w:val="00C41114"/>
    <w:rsid w:val="00C45E21"/>
    <w:rsid w:val="00C81340"/>
    <w:rsid w:val="00C85733"/>
    <w:rsid w:val="00CC536A"/>
    <w:rsid w:val="00CC66B0"/>
    <w:rsid w:val="00D213B7"/>
    <w:rsid w:val="00D4124E"/>
    <w:rsid w:val="00D510D5"/>
    <w:rsid w:val="00D81331"/>
    <w:rsid w:val="00D93437"/>
    <w:rsid w:val="00DB5B33"/>
    <w:rsid w:val="00DE3F12"/>
    <w:rsid w:val="00DF4FF3"/>
    <w:rsid w:val="00E44653"/>
    <w:rsid w:val="00E62358"/>
    <w:rsid w:val="00E67A57"/>
    <w:rsid w:val="00E73C96"/>
    <w:rsid w:val="00E74F49"/>
    <w:rsid w:val="00E92DCC"/>
    <w:rsid w:val="00E9712D"/>
    <w:rsid w:val="00EB4B66"/>
    <w:rsid w:val="00EC21CA"/>
    <w:rsid w:val="00EE637F"/>
    <w:rsid w:val="00F25B5C"/>
    <w:rsid w:val="00F623CD"/>
    <w:rsid w:val="00F762E0"/>
    <w:rsid w:val="00F83585"/>
    <w:rsid w:val="00F83BC8"/>
    <w:rsid w:val="00F853F1"/>
    <w:rsid w:val="00F96D08"/>
    <w:rsid w:val="00FB11BF"/>
    <w:rsid w:val="00FB4810"/>
    <w:rsid w:val="00FC5642"/>
    <w:rsid w:val="00FE39A0"/>
    <w:rsid w:val="00FF5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F49"/>
    <w:pPr>
      <w:ind w:left="720"/>
      <w:contextualSpacing/>
    </w:pPr>
  </w:style>
  <w:style w:type="table" w:styleId="Tabela-Siatka">
    <w:name w:val="Table Grid"/>
    <w:basedOn w:val="Standardowy"/>
    <w:uiPriority w:val="59"/>
    <w:rsid w:val="00E74F49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410EF8"/>
    <w:rPr>
      <w:b/>
      <w:bCs/>
      <w:i w:val="0"/>
      <w:iCs w:val="0"/>
    </w:rPr>
  </w:style>
  <w:style w:type="character" w:customStyle="1" w:styleId="ft">
    <w:name w:val="ft"/>
    <w:basedOn w:val="Domylnaczcionkaakapitu"/>
    <w:rsid w:val="00410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7</cp:revision>
  <dcterms:created xsi:type="dcterms:W3CDTF">2021-10-05T07:18:00Z</dcterms:created>
  <dcterms:modified xsi:type="dcterms:W3CDTF">2021-10-13T11:03:00Z</dcterms:modified>
</cp:coreProperties>
</file>