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45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Załącznik </w:t>
      </w:r>
      <w:r w:rsidR="006D4545">
        <w:rPr>
          <w:rFonts w:ascii="Times New Roman" w:hAnsi="Times New Roman" w:cs="Times New Roman"/>
          <w:b/>
          <w:bCs/>
        </w:rPr>
        <w:t>2b</w:t>
      </w:r>
      <w:r w:rsidR="00A8629F">
        <w:rPr>
          <w:rFonts w:ascii="Times New Roman" w:hAnsi="Times New Roman" w:cs="Times New Roman"/>
          <w:b/>
          <w:bCs/>
        </w:rPr>
        <w:t xml:space="preserve"> </w:t>
      </w:r>
      <w:r w:rsidR="00A8629F" w:rsidRPr="00A8629F">
        <w:rPr>
          <w:rFonts w:ascii="Times New Roman" w:hAnsi="Times New Roman" w:cs="Times New Roman"/>
          <w:b/>
          <w:bCs/>
          <w:color w:val="0070C0"/>
        </w:rPr>
        <w:t>NOWY</w:t>
      </w:r>
    </w:p>
    <w:p w:rsidR="00CC66B0" w:rsidRPr="0069124B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 </w:t>
      </w:r>
      <w:r w:rsidR="00B77F5A" w:rsidRPr="0069124B">
        <w:rPr>
          <w:rFonts w:ascii="Times New Roman" w:hAnsi="Times New Roman" w:cs="Times New Roman"/>
          <w:b/>
          <w:szCs w:val="24"/>
        </w:rPr>
        <w:t xml:space="preserve">Lista </w:t>
      </w:r>
      <w:r w:rsidR="00B77F5A" w:rsidRPr="0069124B">
        <w:rPr>
          <w:rFonts w:ascii="Times New Roman" w:hAnsi="Times New Roman" w:cs="Times New Roman"/>
          <w:b/>
          <w:szCs w:val="24"/>
        </w:rPr>
        <w:tab/>
        <w:t>wymaganych przeciwciał oraz wymagane względem nich parametry.</w:t>
      </w:r>
    </w:p>
    <w:p w:rsidR="00DE3F12" w:rsidRPr="0069124B" w:rsidRDefault="00974075" w:rsidP="006615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bookmarkStart w:id="0" w:name="_Hlk82993416"/>
      <w:r w:rsidRPr="0069124B">
        <w:rPr>
          <w:rFonts w:ascii="Times New Roman" w:hAnsi="Times New Roman" w:cs="Times New Roman"/>
          <w:b/>
          <w:bCs/>
        </w:rPr>
        <w:t>P</w:t>
      </w:r>
      <w:r w:rsidR="002B65EE">
        <w:rPr>
          <w:rFonts w:ascii="Times New Roman" w:hAnsi="Times New Roman" w:cs="Times New Roman"/>
          <w:b/>
          <w:bCs/>
        </w:rPr>
        <w:t>akiet</w:t>
      </w:r>
      <w:r w:rsidR="00DE3F12" w:rsidRPr="0069124B">
        <w:rPr>
          <w:rFonts w:ascii="Times New Roman" w:hAnsi="Times New Roman" w:cs="Times New Roman"/>
          <w:b/>
          <w:bCs/>
        </w:rPr>
        <w:t xml:space="preserve"> nr 1</w:t>
      </w:r>
      <w:r w:rsidR="0066158A" w:rsidRPr="0069124B">
        <w:rPr>
          <w:rFonts w:ascii="Times New Roman" w:hAnsi="Times New Roman" w:cs="Times New Roman"/>
          <w:b/>
          <w:bCs/>
        </w:rPr>
        <w:t xml:space="preserve"> - </w:t>
      </w:r>
      <w:r w:rsidR="00DE3F12" w:rsidRPr="0069124B">
        <w:rPr>
          <w:rFonts w:ascii="Times New Roman" w:hAnsi="Times New Roman" w:cs="Times New Roman"/>
          <w:b/>
          <w:bCs/>
        </w:rPr>
        <w:t>Panel diagnostyczny</w:t>
      </w:r>
      <w:r w:rsidR="0066357D" w:rsidRPr="0069124B">
        <w:rPr>
          <w:rFonts w:ascii="Times New Roman" w:hAnsi="Times New Roman" w:cs="Times New Roman"/>
          <w:b/>
          <w:bCs/>
        </w:rPr>
        <w:t xml:space="preserve"> i PDL1</w:t>
      </w:r>
    </w:p>
    <w:bookmarkEnd w:id="0"/>
    <w:p w:rsidR="0066357D" w:rsidRPr="003B119F" w:rsidRDefault="0066357D" w:rsidP="003B3DAD">
      <w:pPr>
        <w:pStyle w:val="Akapitzlist"/>
        <w:numPr>
          <w:ilvl w:val="0"/>
          <w:numId w:val="15"/>
        </w:numPr>
        <w:ind w:left="1418" w:hanging="425"/>
        <w:rPr>
          <w:rFonts w:ascii="Times New Roman" w:hAnsi="Times New Roman" w:cs="Times New Roman"/>
          <w:b/>
          <w:color w:val="0070C0"/>
        </w:rPr>
      </w:pPr>
      <w:r w:rsidRPr="003B119F">
        <w:rPr>
          <w:rFonts w:ascii="Times New Roman" w:hAnsi="Times New Roman" w:cs="Times New Roman"/>
          <w:b/>
          <w:color w:val="0070C0"/>
        </w:rPr>
        <w:t>Zamawiający  w momencie składania zamówienia będzie miał możliwość dokonania wyboru spośród przeciwciał</w:t>
      </w:r>
      <w:r w:rsidR="003B119F" w:rsidRPr="003B119F">
        <w:rPr>
          <w:rFonts w:ascii="Times New Roman" w:hAnsi="Times New Roman" w:cs="Times New Roman"/>
          <w:b/>
          <w:color w:val="0070C0"/>
        </w:rPr>
        <w:t>:</w:t>
      </w:r>
    </w:p>
    <w:tbl>
      <w:tblPr>
        <w:tblStyle w:val="Tabela-Siatka"/>
        <w:tblW w:w="0" w:type="auto"/>
        <w:tblInd w:w="988" w:type="dxa"/>
        <w:tblLook w:val="04A0"/>
      </w:tblPr>
      <w:tblGrid>
        <w:gridCol w:w="1079"/>
        <w:gridCol w:w="3973"/>
      </w:tblGrid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AFP (</w:t>
            </w:r>
            <w:proofErr w:type="spellStart"/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Alpha</w:t>
            </w:r>
            <w:r w:rsidRPr="0069124B">
              <w:rPr>
                <w:rStyle w:val="ft"/>
                <w:rFonts w:ascii="Times New Roman" w:hAnsi="Times New Roman" w:cs="Times New Roman"/>
                <w:b/>
              </w:rPr>
              <w:t>-</w:t>
            </w:r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fetoprotein</w:t>
            </w:r>
            <w:proofErr w:type="spellEnd"/>
            <w:r w:rsidRPr="0069124B">
              <w:rPr>
                <w:rStyle w:val="Uwydatnienie"/>
                <w:rFonts w:ascii="Times New Roman" w:hAnsi="Times New Roman" w:cs="Times New Roman"/>
                <w:b w:val="0"/>
                <w:color w:val="444444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ALK-1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AMACR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Alfa-Inhibin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Bcl-2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Bcl-6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Beta-Catenin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Ca-125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CA19-9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Calcitonin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Calretinin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Caldesmon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CD117 (c-kit)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CD23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CD34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CD45 LCA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CD5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CD56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CD68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CD79a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CD8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CD99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CDX2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CEA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Carcinoembryonic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antygen)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Chromogranin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c-myc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Cyclin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5/6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AE1/AE3 lub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PanCK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HMW,  clone 34 βE12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Desmin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Desmoglein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DOG-1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E-Cadherin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EMA (epithelial membrane 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antygen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Epstein-Barr </w:t>
            </w:r>
            <w:proofErr w:type="spellStart"/>
            <w:r w:rsidRPr="0069124B">
              <w:rPr>
                <w:rFonts w:ascii="Times New Roman" w:hAnsi="Times New Roman" w:cs="Times New Roman"/>
              </w:rPr>
              <w:t>Virus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ERG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Estrogen Receptor α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Fascin</w:t>
            </w:r>
            <w:proofErr w:type="spellEnd"/>
          </w:p>
        </w:tc>
      </w:tr>
      <w:tr w:rsidR="00974075" w:rsidRPr="0069124B" w:rsidTr="007056E5">
        <w:tc>
          <w:tcPr>
            <w:tcW w:w="1079" w:type="dxa"/>
          </w:tcPr>
          <w:p w:rsidR="00974075" w:rsidRPr="0069124B" w:rsidRDefault="00974075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974075" w:rsidRPr="0069124B" w:rsidRDefault="00974075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Fli-1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GCDFP-15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Kappa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Ki67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Lambda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Mammoglobulin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Melan-A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Melanosome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HMB45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Mesothelin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Mesothelial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cell</w:t>
            </w:r>
            <w:proofErr w:type="spellEnd"/>
            <w:r w:rsidRPr="0069124B">
              <w:rPr>
                <w:rFonts w:ascii="Times New Roman" w:hAnsi="Times New Roman" w:cs="Times New Roman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MUM-1 Protein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Myogenin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Napsin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p53 clone DO-7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p63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PAX8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Podoplanina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, clone D2-40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Progesterone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Receptor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RCC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S-100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SMA (smooth muscle action)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Sox-10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STAT6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Synaptophysin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Thyreoglobulin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Trombomodulin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Triple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Melan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TTF-1 clone SPT24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Uroplakina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Vimentin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WT1 (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Wilm’s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 xml:space="preserve"> Tumor 1 Protein)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CD138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TdT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PAX5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Hepatocyte/HSA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CD21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GATA3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Factor VIII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p16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Beta-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hCG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NSE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BAP1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SALL4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Glipikan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BOB1</w:t>
            </w:r>
          </w:p>
        </w:tc>
      </w:tr>
      <w:tr w:rsidR="005A6673" w:rsidRPr="0069124B" w:rsidTr="007056E5">
        <w:tc>
          <w:tcPr>
            <w:tcW w:w="1079" w:type="dxa"/>
          </w:tcPr>
          <w:p w:rsidR="005A6673" w:rsidRPr="0069124B" w:rsidRDefault="005A6673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A6673" w:rsidRPr="0069124B" w:rsidRDefault="005A6673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PDL-1</w:t>
            </w:r>
          </w:p>
        </w:tc>
      </w:tr>
    </w:tbl>
    <w:p w:rsidR="00FB11BF" w:rsidRPr="0069124B" w:rsidRDefault="00FB11BF" w:rsidP="00DE3F12">
      <w:pPr>
        <w:pStyle w:val="Akapitzlist"/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93745"/>
      <w:r w:rsidRPr="0069124B">
        <w:rPr>
          <w:rFonts w:ascii="Times New Roman" w:hAnsi="Times New Roman" w:cs="Times New Roman"/>
          <w:sz w:val="24"/>
          <w:szCs w:val="24"/>
        </w:rPr>
        <w:lastRenderedPageBreak/>
        <w:t xml:space="preserve">Dostarczone odczynniki i materiały (przeciwciała, system wizualizacyjny, bufory) powinny być tak skalkulowane aby można było wykonać 17000 oznaczeń IHC w czasie trwania umowy (tj. 12 miesięcy) bez względu na umiejscowienie i wielkość skrawka badanego materiału. 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Zestaw do wizualizacji będzie zawierał (lub będzie rozszerzony o) szkiełka dostosowane do barwień IHC  (szkiełka zapobiegające spływaniu preparatów podczas obróbki cieplnej), szkiełka nakrywkowe oraz balsam do naklejania w ilości wystarczającej do wykonania 17000 oznaczeń.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</w:t>
      </w:r>
      <w:r w:rsidR="00974075" w:rsidRPr="0069124B">
        <w:rPr>
          <w:rFonts w:ascii="Times New Roman" w:hAnsi="Times New Roman" w:cs="Times New Roman"/>
          <w:sz w:val="24"/>
          <w:szCs w:val="24"/>
        </w:rPr>
        <w:t xml:space="preserve"> – co najmniej pół roku od daty </w:t>
      </w:r>
      <w:r w:rsidRPr="0069124B">
        <w:rPr>
          <w:rFonts w:ascii="Times New Roman" w:hAnsi="Times New Roman" w:cs="Times New Roman"/>
          <w:sz w:val="24"/>
          <w:szCs w:val="24"/>
        </w:rPr>
        <w:t>dostawy.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d</w:t>
      </w:r>
      <w:r w:rsidR="002B65EE">
        <w:rPr>
          <w:rFonts w:ascii="Times New Roman" w:hAnsi="Times New Roman" w:cs="Times New Roman"/>
          <w:sz w:val="24"/>
          <w:szCs w:val="24"/>
        </w:rPr>
        <w:t>ostępu w postaci elektronicznej (do umowy)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pierwotne w gotowych do użycia rozcieńczeniach (RTU) w pojemnikach umożliwiających bezpośrednie ich użycie bez potrzeby przelewania (wyjątek przeciwciała innych firm – w przypadku braku we własnej ofercie, dopuszcza się możliwość przelewania, oraz przeciwciała stężone (maksymalnie </w:t>
      </w:r>
      <w:r w:rsidR="005A6673" w:rsidRPr="0069124B">
        <w:rPr>
          <w:rFonts w:ascii="Times New Roman" w:hAnsi="Times New Roman" w:cs="Times New Roman"/>
          <w:sz w:val="24"/>
          <w:szCs w:val="24"/>
        </w:rPr>
        <w:t>3</w:t>
      </w:r>
      <w:r w:rsidRPr="0069124B">
        <w:rPr>
          <w:rFonts w:ascii="Times New Roman" w:hAnsi="Times New Roman" w:cs="Times New Roman"/>
          <w:sz w:val="24"/>
          <w:szCs w:val="24"/>
        </w:rPr>
        <w:t xml:space="preserve"> sztuki) – dopuszcza się pod warunkiem dostarczenia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diluentu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do wykonania rozcieńczeń i odpowiednich akcesoriów celem dostosowania przeciwciał do stosowania w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autostainerach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przynajmniej jeden z niezależnych ośrodków  kontroli.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Niezależna zewnętrzna kontrola jakości polegająca na: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weryfikujących jakość barwień laboratorium zapewnionych przez niezależny ośrodek z co najmniej pięcioletnim doświadczeniem w więcej niż jednym kraju europejskim (np.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NordiQC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 - kontrola jakości obejmująca panel – ogólny.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certyfikujących wykonywanie oznaczeń predykcyjnych – PDL-1 w ESP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EQA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100% pokryciu wszystkich kosztów związanych z kontrolą jakości i certyfikacją.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poradnictwie w zakresie wyboru przeciwciał i ustawiania protokołów diagnostycznych</w:t>
      </w:r>
    </w:p>
    <w:p w:rsidR="003B3DAD" w:rsidRPr="0069124B" w:rsidRDefault="003B3DA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W przypadku przeciwciała predykcyjnego PDL-1 dostarczone odczynniki i materiały (przeciwciała, system wizualizacyjny, bufory) powinny być tak skalkulowane aby można było wykonać 500 oznaczeń w czasie trwania umowy (tj. 12 miesięcy) bez względu na umiejscowienie i wielkość skrawka badanego materiału. </w:t>
      </w:r>
    </w:p>
    <w:p w:rsidR="00DE3F12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lastRenderedPageBreak/>
        <w:t>W przypadku przeciwciała PDL-1 wykonawca zaoferuje przeciwciało, którego klon jest pozytywnie zaopiniowany przez Ministerstwo Zdrowia do stosowania w aktualnym programie lekowym w NSCL.</w:t>
      </w:r>
    </w:p>
    <w:p w:rsidR="00536308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Przeciwciało predykcyjne PDL-1 tylko w formie RTU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wraz z odpowiednim dedykowanym mu systemem wizualizacyjnym.</w:t>
      </w:r>
    </w:p>
    <w:p w:rsidR="00536308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W przypadku przeciwciała PDL-1 dostarczone będzie też przeciwciało w postaci kontroli negatywnej dedykowanej dla PDL-1 w ilości wystarczającej do wykonania 500 oznaczeń. </w:t>
      </w:r>
    </w:p>
    <w:bookmarkEnd w:id="1"/>
    <w:p w:rsidR="0066158A" w:rsidRPr="0069124B" w:rsidRDefault="0066158A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</w:p>
    <w:p w:rsidR="0066158A" w:rsidRPr="0069124B" w:rsidRDefault="0066158A" w:rsidP="003B3DAD">
      <w:pPr>
        <w:autoSpaceDE w:val="0"/>
        <w:autoSpaceDN w:val="0"/>
        <w:adjustRightInd w:val="0"/>
        <w:spacing w:before="0" w:line="276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•</w:t>
      </w:r>
      <w:r w:rsidR="003B3DAD" w:rsidRPr="0069124B">
        <w:rPr>
          <w:rFonts w:ascii="Times New Roman" w:hAnsi="Times New Roman" w:cs="Times New Roman"/>
          <w:sz w:val="24"/>
          <w:szCs w:val="24"/>
        </w:rPr>
        <w:t xml:space="preserve"> </w:t>
      </w:r>
      <w:r w:rsidR="003B3DAD" w:rsidRPr="0069124B">
        <w:rPr>
          <w:rFonts w:ascii="Times New Roman" w:hAnsi="Times New Roman" w:cs="Times New Roman"/>
          <w:b/>
          <w:sz w:val="24"/>
          <w:szCs w:val="24"/>
        </w:rPr>
        <w:t>Pa</w:t>
      </w:r>
      <w:r w:rsidR="003A7FB1">
        <w:rPr>
          <w:rFonts w:ascii="Times New Roman" w:hAnsi="Times New Roman" w:cs="Times New Roman"/>
          <w:b/>
          <w:sz w:val="24"/>
          <w:szCs w:val="24"/>
        </w:rPr>
        <w:t>kiet</w:t>
      </w:r>
      <w:r w:rsidRPr="0069124B">
        <w:rPr>
          <w:rFonts w:ascii="Times New Roman" w:hAnsi="Times New Roman" w:cs="Times New Roman"/>
          <w:b/>
          <w:bCs/>
          <w:sz w:val="24"/>
          <w:szCs w:val="24"/>
        </w:rPr>
        <w:t xml:space="preserve"> nr 2 - Panel predykcyjny – przeciwciała ALK i ROS1.</w:t>
      </w:r>
    </w:p>
    <w:p w:rsidR="003B3DAD" w:rsidRPr="0069124B" w:rsidRDefault="003B3DAD" w:rsidP="003B3DAD">
      <w:pPr>
        <w:autoSpaceDE w:val="0"/>
        <w:autoSpaceDN w:val="0"/>
        <w:adjustRightInd w:val="0"/>
        <w:spacing w:before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500 oznaczeń IHC przeciwciała ALK i 500 oznaczeń IHC przeciwciała ROS1w czasie trwania umowy (tj. 12 miesięcy) bez względu na umiejscowienie i wielkość skrawka badanego materiału. 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Dostarczone będzie też przeciwciało w postaci kontroli negatywnej dedykowanej dla ALK oraz ROS1 w ilości wystarczającej do wykonania 500 oznaczeń dla każdego z wymienionych przeciwciał.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 o) szkiełka dostosowane do barwień IHC  (szkiełka zapobiegające spływaniu preparatów podczas obróbki cieplnej), szkiełka nakrywkowe oraz balsam do naklejania w ilości wystarczającej do wykonania </w:t>
      </w:r>
      <w:r w:rsidR="00943042" w:rsidRPr="0069124B">
        <w:rPr>
          <w:rFonts w:ascii="Times New Roman" w:hAnsi="Times New Roman" w:cs="Times New Roman"/>
          <w:sz w:val="24"/>
          <w:szCs w:val="24"/>
        </w:rPr>
        <w:t>2</w:t>
      </w:r>
      <w:r w:rsidRPr="0069124B">
        <w:rPr>
          <w:rFonts w:ascii="Times New Roman" w:hAnsi="Times New Roman" w:cs="Times New Roman"/>
          <w:sz w:val="24"/>
          <w:szCs w:val="24"/>
        </w:rPr>
        <w:t>000 oznaczeń.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 – co najmniej pół roku od daty dostawy.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Ministerstwo Zdrowia do stosowania w aktualnym programie lekowym w NSCL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elektr</w:t>
      </w:r>
      <w:r w:rsidR="00A61787">
        <w:rPr>
          <w:rFonts w:ascii="Times New Roman" w:hAnsi="Times New Roman" w:cs="Times New Roman"/>
          <w:sz w:val="24"/>
          <w:szCs w:val="24"/>
        </w:rPr>
        <w:t>onicznego dostępu do tych danyc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</w:t>
      </w:r>
      <w:r w:rsidR="00943042" w:rsidRPr="0069124B">
        <w:rPr>
          <w:rFonts w:ascii="Times New Roman" w:hAnsi="Times New Roman" w:cs="Times New Roman"/>
          <w:sz w:val="24"/>
          <w:szCs w:val="24"/>
        </w:rPr>
        <w:t>ALK i ROS1 oraz dedykowane kontrole negatywne</w:t>
      </w:r>
      <w:r w:rsidRPr="0069124B">
        <w:rPr>
          <w:rFonts w:ascii="Times New Roman" w:hAnsi="Times New Roman" w:cs="Times New Roman"/>
          <w:sz w:val="24"/>
          <w:szCs w:val="24"/>
        </w:rPr>
        <w:t xml:space="preserve"> w gotowych do użycia rozcieńczeniach (RTU) w pojemnikach umożliwiających bezpośrednie ich użycie bez potrzeby przelewania</w:t>
      </w:r>
      <w:r w:rsidR="00943042" w:rsidRPr="0069124B">
        <w:rPr>
          <w:rFonts w:ascii="Times New Roman" w:hAnsi="Times New Roman" w:cs="Times New Roman"/>
          <w:sz w:val="24"/>
          <w:szCs w:val="24"/>
        </w:rPr>
        <w:t>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uczestnictwo w testach certyfikujących wykonywanie oznaczeń predykcyjnych – ALK i ROS1 w ESP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EQA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943042" w:rsidRPr="00473E3F" w:rsidRDefault="00943042" w:rsidP="009430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73E3F">
        <w:rPr>
          <w:rFonts w:ascii="Times New Roman" w:hAnsi="Times New Roman" w:cs="Times New Roman"/>
          <w:sz w:val="24"/>
          <w:szCs w:val="24"/>
        </w:rPr>
        <w:t>P</w:t>
      </w:r>
      <w:r w:rsidR="00695855" w:rsidRPr="00473E3F">
        <w:rPr>
          <w:rFonts w:ascii="Times New Roman" w:hAnsi="Times New Roman" w:cs="Times New Roman"/>
          <w:sz w:val="24"/>
          <w:szCs w:val="24"/>
        </w:rPr>
        <w:t>okryciu wszystkich kosztów związanych z certyfikacją.</w:t>
      </w:r>
    </w:p>
    <w:p w:rsidR="0066158A" w:rsidRPr="0069124B" w:rsidRDefault="0066158A" w:rsidP="00695855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6158A" w:rsidRPr="0069124B" w:rsidSect="004644A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3FF"/>
    <w:multiLevelType w:val="hybridMultilevel"/>
    <w:tmpl w:val="DAA210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9666F"/>
    <w:multiLevelType w:val="hybridMultilevel"/>
    <w:tmpl w:val="151C59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BD401D"/>
    <w:multiLevelType w:val="hybridMultilevel"/>
    <w:tmpl w:val="D76CDC38"/>
    <w:lvl w:ilvl="0" w:tplc="D9EE1E3C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0D937A14"/>
    <w:multiLevelType w:val="hybridMultilevel"/>
    <w:tmpl w:val="2D9628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B0D09"/>
    <w:multiLevelType w:val="hybridMultilevel"/>
    <w:tmpl w:val="6A54836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CCE34D1"/>
    <w:multiLevelType w:val="hybridMultilevel"/>
    <w:tmpl w:val="D1FC2BF0"/>
    <w:lvl w:ilvl="0" w:tplc="D9EE1E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E98"/>
    <w:multiLevelType w:val="hybridMultilevel"/>
    <w:tmpl w:val="90EC4C7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6D1620A"/>
    <w:multiLevelType w:val="hybridMultilevel"/>
    <w:tmpl w:val="D12E6D68"/>
    <w:lvl w:ilvl="0" w:tplc="2342DF76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365994"/>
    <w:multiLevelType w:val="hybridMultilevel"/>
    <w:tmpl w:val="72E4FF90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80EE0"/>
    <w:multiLevelType w:val="hybridMultilevel"/>
    <w:tmpl w:val="D7DE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423A"/>
    <w:multiLevelType w:val="hybridMultilevel"/>
    <w:tmpl w:val="D526A994"/>
    <w:lvl w:ilvl="0" w:tplc="D60642CE">
      <w:start w:val="2"/>
      <w:numFmt w:val="lowerLetter"/>
      <w:lvlText w:val="%1."/>
      <w:lvlJc w:val="left"/>
      <w:pPr>
        <w:ind w:left="3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>
    <w:nsid w:val="5EB645BF"/>
    <w:multiLevelType w:val="hybridMultilevel"/>
    <w:tmpl w:val="E1504F8C"/>
    <w:lvl w:ilvl="0" w:tplc="1D2A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47701"/>
    <w:multiLevelType w:val="hybridMultilevel"/>
    <w:tmpl w:val="D178A340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816F67"/>
    <w:multiLevelType w:val="hybridMultilevel"/>
    <w:tmpl w:val="23B66296"/>
    <w:lvl w:ilvl="0" w:tplc="D9EE1E3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F23515"/>
    <w:multiLevelType w:val="hybridMultilevel"/>
    <w:tmpl w:val="A3EA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010C"/>
    <w:multiLevelType w:val="hybridMultilevel"/>
    <w:tmpl w:val="CE5A0A96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495F"/>
    <w:multiLevelType w:val="hybridMultilevel"/>
    <w:tmpl w:val="DAEADE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491F0A"/>
    <w:multiLevelType w:val="hybridMultilevel"/>
    <w:tmpl w:val="1A8E1924"/>
    <w:lvl w:ilvl="0" w:tplc="846EFE0E">
      <w:start w:val="2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7E9E5315"/>
    <w:multiLevelType w:val="hybridMultilevel"/>
    <w:tmpl w:val="10481236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F49"/>
    <w:rsid w:val="00084D5D"/>
    <w:rsid w:val="000E0CE3"/>
    <w:rsid w:val="0012513A"/>
    <w:rsid w:val="00125C9D"/>
    <w:rsid w:val="00153A3F"/>
    <w:rsid w:val="00162BA0"/>
    <w:rsid w:val="00187C9B"/>
    <w:rsid w:val="00196794"/>
    <w:rsid w:val="001A36C4"/>
    <w:rsid w:val="001B3A27"/>
    <w:rsid w:val="002625DF"/>
    <w:rsid w:val="002A74E6"/>
    <w:rsid w:val="002B65EE"/>
    <w:rsid w:val="002F7F04"/>
    <w:rsid w:val="00321C8E"/>
    <w:rsid w:val="003727B2"/>
    <w:rsid w:val="003A29F7"/>
    <w:rsid w:val="003A7FB1"/>
    <w:rsid w:val="003B119F"/>
    <w:rsid w:val="003B3DAD"/>
    <w:rsid w:val="003C1332"/>
    <w:rsid w:val="003D1A02"/>
    <w:rsid w:val="00410EF8"/>
    <w:rsid w:val="00433B12"/>
    <w:rsid w:val="00447021"/>
    <w:rsid w:val="004644A8"/>
    <w:rsid w:val="00473E3F"/>
    <w:rsid w:val="00476B04"/>
    <w:rsid w:val="00521B65"/>
    <w:rsid w:val="00534CD3"/>
    <w:rsid w:val="00536308"/>
    <w:rsid w:val="00593253"/>
    <w:rsid w:val="005A6673"/>
    <w:rsid w:val="005C7CF3"/>
    <w:rsid w:val="005D3034"/>
    <w:rsid w:val="005D7B0F"/>
    <w:rsid w:val="0066158A"/>
    <w:rsid w:val="0066357D"/>
    <w:rsid w:val="0069124B"/>
    <w:rsid w:val="00695855"/>
    <w:rsid w:val="006A0906"/>
    <w:rsid w:val="006A40E7"/>
    <w:rsid w:val="006B0650"/>
    <w:rsid w:val="006D4545"/>
    <w:rsid w:val="006E5BFE"/>
    <w:rsid w:val="007056E5"/>
    <w:rsid w:val="00711EF6"/>
    <w:rsid w:val="007201DC"/>
    <w:rsid w:val="00723727"/>
    <w:rsid w:val="00757D52"/>
    <w:rsid w:val="00760903"/>
    <w:rsid w:val="007E4DC1"/>
    <w:rsid w:val="00804693"/>
    <w:rsid w:val="008133ED"/>
    <w:rsid w:val="00817083"/>
    <w:rsid w:val="008227CD"/>
    <w:rsid w:val="008350AD"/>
    <w:rsid w:val="0087357E"/>
    <w:rsid w:val="008A6994"/>
    <w:rsid w:val="008B63FD"/>
    <w:rsid w:val="008B7247"/>
    <w:rsid w:val="008D0322"/>
    <w:rsid w:val="008D5E71"/>
    <w:rsid w:val="008E5E41"/>
    <w:rsid w:val="0090449B"/>
    <w:rsid w:val="00917923"/>
    <w:rsid w:val="00943042"/>
    <w:rsid w:val="00953BA0"/>
    <w:rsid w:val="00966B9D"/>
    <w:rsid w:val="00972D3D"/>
    <w:rsid w:val="00974075"/>
    <w:rsid w:val="0097572A"/>
    <w:rsid w:val="00975CB4"/>
    <w:rsid w:val="00980D7F"/>
    <w:rsid w:val="009939DA"/>
    <w:rsid w:val="00997D48"/>
    <w:rsid w:val="009C1CAC"/>
    <w:rsid w:val="009E06C3"/>
    <w:rsid w:val="00A54EEF"/>
    <w:rsid w:val="00A61787"/>
    <w:rsid w:val="00A8629F"/>
    <w:rsid w:val="00AE17BA"/>
    <w:rsid w:val="00AF2615"/>
    <w:rsid w:val="00B03456"/>
    <w:rsid w:val="00B11C8D"/>
    <w:rsid w:val="00B26A75"/>
    <w:rsid w:val="00B77F5A"/>
    <w:rsid w:val="00B9296F"/>
    <w:rsid w:val="00BB157D"/>
    <w:rsid w:val="00BE6D7C"/>
    <w:rsid w:val="00BE6FE7"/>
    <w:rsid w:val="00C102F5"/>
    <w:rsid w:val="00C11B04"/>
    <w:rsid w:val="00C32433"/>
    <w:rsid w:val="00C41114"/>
    <w:rsid w:val="00C45E21"/>
    <w:rsid w:val="00C81340"/>
    <w:rsid w:val="00C85733"/>
    <w:rsid w:val="00CC536A"/>
    <w:rsid w:val="00CC66B0"/>
    <w:rsid w:val="00D213B7"/>
    <w:rsid w:val="00D4124E"/>
    <w:rsid w:val="00D510D5"/>
    <w:rsid w:val="00D81331"/>
    <w:rsid w:val="00D93437"/>
    <w:rsid w:val="00DB5B33"/>
    <w:rsid w:val="00DE3F12"/>
    <w:rsid w:val="00DF4FF3"/>
    <w:rsid w:val="00E44653"/>
    <w:rsid w:val="00E62358"/>
    <w:rsid w:val="00E67A57"/>
    <w:rsid w:val="00E73C96"/>
    <w:rsid w:val="00E74F49"/>
    <w:rsid w:val="00E92DCC"/>
    <w:rsid w:val="00E9712D"/>
    <w:rsid w:val="00EB4B66"/>
    <w:rsid w:val="00EC21CA"/>
    <w:rsid w:val="00EE637F"/>
    <w:rsid w:val="00F25B5C"/>
    <w:rsid w:val="00F623CD"/>
    <w:rsid w:val="00F762E0"/>
    <w:rsid w:val="00F83585"/>
    <w:rsid w:val="00F83BC8"/>
    <w:rsid w:val="00F853F1"/>
    <w:rsid w:val="00F96D08"/>
    <w:rsid w:val="00FB11BF"/>
    <w:rsid w:val="00FB4810"/>
    <w:rsid w:val="00FC5642"/>
    <w:rsid w:val="00FE39A0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4</cp:revision>
  <dcterms:created xsi:type="dcterms:W3CDTF">2021-10-22T08:57:00Z</dcterms:created>
  <dcterms:modified xsi:type="dcterms:W3CDTF">2021-10-25T09:10:00Z</dcterms:modified>
</cp:coreProperties>
</file>