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75" w:rsidRPr="00344075" w:rsidRDefault="00344075" w:rsidP="00344075">
      <w:pPr>
        <w:spacing w:line="360" w:lineRule="auto"/>
        <w:rPr>
          <w:rFonts w:ascii="Tahoma" w:hAnsi="Tahoma" w:cs="Tahoma"/>
          <w:b/>
          <w:szCs w:val="24"/>
          <w:lang w:val="pl-PL"/>
        </w:rPr>
      </w:pPr>
      <w:r w:rsidRPr="00344075">
        <w:rPr>
          <w:rFonts w:ascii="Tahoma" w:hAnsi="Tahoma" w:cs="Tahoma"/>
          <w:b/>
          <w:szCs w:val="24"/>
          <w:lang w:val="pl-PL"/>
        </w:rPr>
        <w:t>Załącznik nr 1</w:t>
      </w:r>
    </w:p>
    <w:p w:rsidR="00344075" w:rsidRPr="00344075" w:rsidRDefault="00344075" w:rsidP="00344075">
      <w:pPr>
        <w:spacing w:line="360" w:lineRule="auto"/>
        <w:rPr>
          <w:rFonts w:ascii="Tahoma" w:hAnsi="Tahoma" w:cs="Tahoma"/>
          <w:b/>
          <w:szCs w:val="24"/>
          <w:lang w:val="pl-PL"/>
        </w:rPr>
      </w:pPr>
      <w:r w:rsidRPr="00344075">
        <w:rPr>
          <w:rFonts w:ascii="Tahoma" w:hAnsi="Tahoma" w:cs="Tahoma"/>
          <w:b/>
          <w:szCs w:val="24"/>
          <w:lang w:val="pl-PL"/>
        </w:rPr>
        <w:t xml:space="preserve">Pakiet nr </w:t>
      </w:r>
      <w:r w:rsidR="00081672">
        <w:rPr>
          <w:rFonts w:ascii="Tahoma" w:hAnsi="Tahoma" w:cs="Tahoma"/>
          <w:b/>
          <w:szCs w:val="24"/>
          <w:lang w:val="pl-PL"/>
        </w:rPr>
        <w:t>3</w:t>
      </w:r>
    </w:p>
    <w:p w:rsidR="00344075" w:rsidRPr="00344075" w:rsidRDefault="00344075" w:rsidP="00344075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 xml:space="preserve">Pozycja 1 Pompa infuzyjna </w:t>
      </w:r>
      <w:proofErr w:type="spellStart"/>
      <w:r>
        <w:rPr>
          <w:rFonts w:ascii="Tahoma" w:hAnsi="Tahoma" w:cs="Tahoma"/>
          <w:b/>
          <w:szCs w:val="24"/>
          <w:lang w:val="pl-PL"/>
        </w:rPr>
        <w:t>strzykawkowa</w:t>
      </w:r>
      <w:proofErr w:type="spellEnd"/>
      <w:r w:rsidRPr="00344075">
        <w:rPr>
          <w:rFonts w:ascii="Tahoma" w:hAnsi="Tahoma" w:cs="Tahoma"/>
          <w:b/>
          <w:szCs w:val="24"/>
          <w:lang w:val="pl-PL"/>
        </w:rPr>
        <w:t xml:space="preserve"> </w:t>
      </w:r>
      <w:r>
        <w:rPr>
          <w:rFonts w:ascii="Tahoma" w:hAnsi="Tahoma" w:cs="Tahoma"/>
          <w:b/>
          <w:szCs w:val="24"/>
          <w:lang w:val="pl-PL"/>
        </w:rPr>
        <w:t>– 24</w:t>
      </w:r>
      <w:r w:rsidRPr="00344075">
        <w:rPr>
          <w:rFonts w:ascii="Tahoma" w:hAnsi="Tahoma" w:cs="Tahoma"/>
          <w:b/>
          <w:szCs w:val="24"/>
          <w:lang w:val="pl-PL"/>
        </w:rPr>
        <w:t xml:space="preserve"> szt.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221"/>
      </w:tblGrid>
      <w:tr w:rsidR="007B45BB" w:rsidRPr="00D97EAA" w:rsidTr="00227B83">
        <w:trPr>
          <w:trHeight w:val="170"/>
        </w:trPr>
        <w:tc>
          <w:tcPr>
            <w:tcW w:w="851" w:type="dxa"/>
            <w:shd w:val="clear" w:color="auto" w:fill="FFFFFF"/>
            <w:vAlign w:val="center"/>
            <w:hideMark/>
          </w:tcPr>
          <w:p w:rsidR="007B45BB" w:rsidRPr="00D97EAA" w:rsidRDefault="007B45BB" w:rsidP="00D97EAA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D97EA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Lp</w:t>
            </w:r>
            <w:proofErr w:type="spellEnd"/>
            <w:r w:rsidRPr="00D97EA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7B45BB" w:rsidRPr="00D8516C" w:rsidRDefault="00D8516C" w:rsidP="00D97EA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</w:t>
            </w:r>
            <w:proofErr w:type="spellEnd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graniczne</w:t>
            </w:r>
            <w:proofErr w:type="spellEnd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wymagane</w:t>
            </w:r>
            <w:proofErr w:type="spellEnd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7B45BB" w:rsidRPr="00D97EAA" w:rsidTr="00227B83">
        <w:trPr>
          <w:trHeight w:val="170"/>
        </w:trPr>
        <w:tc>
          <w:tcPr>
            <w:tcW w:w="851" w:type="dxa"/>
            <w:shd w:val="clear" w:color="auto" w:fill="92D050"/>
            <w:vAlign w:val="center"/>
            <w:hideMark/>
          </w:tcPr>
          <w:p w:rsidR="007B45BB" w:rsidRPr="00D97EAA" w:rsidRDefault="007B45BB" w:rsidP="00D97EAA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7B45BB" w:rsidRPr="00F056E4" w:rsidRDefault="007B45BB" w:rsidP="00F05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F056E4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A13A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Pompa</w:t>
            </w:r>
            <w:proofErr w:type="spellEnd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infuzyjna</w:t>
            </w:r>
            <w:proofErr w:type="spellEnd"/>
            <w:r w:rsidRPr="00CA13A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A13A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strzykawkowa</w:t>
            </w:r>
            <w:proofErr w:type="spellEnd"/>
          </w:p>
        </w:tc>
      </w:tr>
      <w:tr w:rsidR="007B45BB" w:rsidRPr="00263B83" w:rsidTr="00227B83">
        <w:trPr>
          <w:trHeight w:val="400"/>
        </w:trPr>
        <w:tc>
          <w:tcPr>
            <w:tcW w:w="851" w:type="dxa"/>
            <w:vAlign w:val="center"/>
            <w:hideMark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221" w:type="dxa"/>
            <w:hideMark/>
          </w:tcPr>
          <w:p w:rsidR="007B45BB" w:rsidRPr="002030C9" w:rsidRDefault="007B45BB" w:rsidP="0026333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Pompa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>strzykawkowa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sterowana elektronicznie przeznaczona do stosowania u dorosłych, dzieci oraz noworodków w celu okresowego lub ciągłego podawania pozajelitowych i dojelitowych płynów klinicznie akceptowanymi drogami podania. Należą do nich droga dożylna,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>dotętnicowa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>, podskórna, zewnątrzoponowa i dojelitowa – 24 sztuki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8221" w:type="dxa"/>
            <w:hideMark/>
          </w:tcPr>
          <w:p w:rsidR="007B45BB" w:rsidRPr="002030C9" w:rsidRDefault="007B45BB" w:rsidP="0026333B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Napięcie 11-16 V DC, zasilanie przy użyciu zasilacza zewnętrznego – 2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>szt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lub Stacji Dokującej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8221" w:type="dxa"/>
            <w:hideMark/>
          </w:tcPr>
          <w:p w:rsidR="007B45BB" w:rsidRPr="002030C9" w:rsidRDefault="007B45BB" w:rsidP="0026333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</w:rPr>
              <w:t>Dokładność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</w:rPr>
              <w:t>mechaniczna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</w:rPr>
              <w:t xml:space="preserve"> &lt;&lt;±0,5%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8221" w:type="dxa"/>
            <w:hideMark/>
          </w:tcPr>
          <w:p w:rsidR="007B45BB" w:rsidRPr="002030C9" w:rsidRDefault="007B45BB" w:rsidP="0026333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</w:rPr>
              <w:t>Strzykawka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</w:rPr>
              <w:t>mocowana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</w:rPr>
              <w:t xml:space="preserve"> od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</w:rPr>
              <w:t>przodu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</w:tr>
      <w:tr w:rsidR="007B45BB" w:rsidRPr="00BB2B15" w:rsidTr="00227B83">
        <w:trPr>
          <w:trHeight w:val="283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Automatyczny</w:t>
            </w:r>
            <w:proofErr w:type="spellEnd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napęd</w:t>
            </w:r>
            <w:proofErr w:type="spellEnd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strzykawki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Zabezpieczenie przed swobodnym przepływem, niezależnie od położenia głowicy napędowej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Pompa skalibrowana do pracy ze strzykawkami o objętości 2/3, 5, 10, 20 i 50/60 ml różnych typów oraz różnych producentów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Masa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pompy</w:t>
            </w:r>
            <w:proofErr w:type="spellEnd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max. 1,5 kg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  <w:t>9.</w:t>
            </w:r>
          </w:p>
        </w:tc>
        <w:tc>
          <w:tcPr>
            <w:tcW w:w="8221" w:type="dxa"/>
            <w:hideMark/>
          </w:tcPr>
          <w:p w:rsidR="007B45BB" w:rsidRPr="002030C9" w:rsidRDefault="007B45BB" w:rsidP="009D41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Pompa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zajmujaca</w:t>
            </w:r>
            <w:proofErr w:type="spellEnd"/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przestrzeń nie większą niż 3 000 cm3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Klawiatura nawigacyjna do wprowadzania parametrów i obsługi pompy</w:t>
            </w:r>
          </w:p>
        </w:tc>
      </w:tr>
      <w:tr w:rsidR="007B45BB" w:rsidRPr="00263B83" w:rsidTr="00227B83">
        <w:trPr>
          <w:trHeight w:val="182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11.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Odłączalny uchwyt do przenoszenia i mocowania pompy do rur i szyn medycznych pionowych i poziomych-2szt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łączenia 2 i 3 pomp w moduły bez użycia stacji dokującej.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Odłączalny uchwyt do przenoszenia zestaw 2 i 3 pomp zasilanych jednym przewodem.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Podświetlany ekran i przyciski z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mozliwością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regulacji na 9 poziomach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Regulacja głośności w zakresie od 59dBA do 74dBA na 9 poziomach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Regulacja jasności i kontrastu ekranu na 9 poziomach</w:t>
            </w:r>
          </w:p>
        </w:tc>
      </w:tr>
      <w:tr w:rsidR="007B45BB" w:rsidRPr="00263B83" w:rsidTr="00227B83">
        <w:trPr>
          <w:trHeight w:val="261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8221" w:type="dxa"/>
            <w:hideMark/>
          </w:tcPr>
          <w:p w:rsidR="007B45BB" w:rsidRPr="00BB2B15" w:rsidRDefault="007B45BB" w:rsidP="00FD53CE">
            <w:pPr>
              <w:widowControl w:val="0"/>
              <w:autoSpaceDE w:val="0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BB2B15">
              <w:rPr>
                <w:rFonts w:ascii="Arial" w:hAnsi="Arial" w:cs="Arial"/>
                <w:bCs/>
                <w:sz w:val="18"/>
                <w:szCs w:val="18"/>
                <w:lang w:val="pl-PL"/>
              </w:rPr>
              <w:t>Zasilanie z akumulatora wewnętrznego min 10 h. przy przepływie 5 ml/h.;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programowania parametrów infuzji w mg,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mcg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, U lub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mmol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,   z uwzględnieniem lub nie masy ciała w odniesieniu do czasu ( np. mg/kg/min; mg/kg/h; mg/kg/24h)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Zakres prędkości infuzji podstawowej min. 0,1 do 999,9 ml/h  Prędkość infuzji w zakresie od 0,1 - 99,99ml/h programowana co 0,01ml/godz.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Merge w:val="restart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Prędkości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bolusa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min: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poj.3ml =1-150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poj.5ml =1-300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poj.10ml =1-500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poj.20ml =1-800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poj.30ml =1-1200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poj.50/60ml =1-1800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utworzenia Bazy Leków używanych 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infuzjoterapii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na terenie szpitala  z możliwością zastosowania oprogramowania do tworzenia Bibliotek Leków na poszczególne oddziały.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skonfigurowania do 50 oddziałów w jednej pompie.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24.</w:t>
            </w:r>
          </w:p>
        </w:tc>
        <w:tc>
          <w:tcPr>
            <w:tcW w:w="8221" w:type="dxa"/>
            <w:hideMark/>
          </w:tcPr>
          <w:p w:rsidR="007B45BB" w:rsidRPr="00BB2B15" w:rsidRDefault="007B45BB" w:rsidP="00851B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Biblioteka Leków zawierająca 1 200  leków z możliwością podzielenia na min. 30 grup.  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Biblioteka leków zawierająca po 10 stężeń dla każdego leku.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26.</w:t>
            </w:r>
          </w:p>
        </w:tc>
        <w:tc>
          <w:tcPr>
            <w:tcW w:w="8221" w:type="dxa"/>
            <w:hideMark/>
          </w:tcPr>
          <w:p w:rsidR="007B45BB" w:rsidRPr="00BB2B15" w:rsidRDefault="007B45BB" w:rsidP="006C75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Leki zawarte w Bibliotece Leków powiązane z parametrami infuzji (limity względne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min-max;limity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bezwzględne min-max, parametry standardowe), możliwość wyświetlania naprzemiennego nazwy leku i/lub wybranych parametrów infuzji.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27.</w:t>
            </w:r>
          </w:p>
        </w:tc>
        <w:tc>
          <w:tcPr>
            <w:tcW w:w="8221" w:type="dxa"/>
            <w:hideMark/>
          </w:tcPr>
          <w:p w:rsidR="007B45BB" w:rsidRPr="00BB2B15" w:rsidRDefault="007B45BB" w:rsidP="00D759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infuzji przy stopniowym wzroście i spadku prędkości. Infuzja składa się z trzech faz: wzrostu, utrzymania i spadku.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28.</w:t>
            </w:r>
          </w:p>
        </w:tc>
        <w:tc>
          <w:tcPr>
            <w:tcW w:w="8221" w:type="dxa"/>
            <w:hideMark/>
          </w:tcPr>
          <w:p w:rsidR="007B45BB" w:rsidRPr="00BB2B15" w:rsidRDefault="007B45BB" w:rsidP="00F12F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Wspólny kabel umożliwiający zasilanie 3 pomp-2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szt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Automatyczne prowadzenie infuzji w trybie okresowym,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składającycm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się z dwóch faz: bolusa i prędkości.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terapii dawka w czasie. Po wprowadzeniu parametrów dawki i czasu pompa automatycznie obliczy prędkość infuzji.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31.</w:t>
            </w:r>
          </w:p>
        </w:tc>
        <w:tc>
          <w:tcPr>
            <w:tcW w:w="8221" w:type="dxa"/>
            <w:hideMark/>
          </w:tcPr>
          <w:p w:rsidR="007B45BB" w:rsidRPr="00BB2B15" w:rsidRDefault="007B45BB" w:rsidP="008F6E6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Tryb przejęcia - automatyczne przejmowanie infuzji  przez kolejną pompę natychmiast po zakończeniu infuzji w poprzedniej. Pompy w trakcie pracy muszą być czytelnie oznaczone. np. 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lastRenderedPageBreak/>
              <w:t>pompa 1, pompa 2.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32.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Automatyczne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przenoszeniedo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pompy obliczonej wartości podaży insuliny przez system do kontrolowanej insulinoterapii.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opcjonalnego rozszerzenia oprogramowania pompy o tryb TCI  (ang. 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Target Controlled Infusion)-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uruchomiony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dla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5 pomp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Tryb TCI z modelami farmakokinetycznymi dla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Propofolu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,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Remifentanyli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i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Sufentanylu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podania dodatkowego bolusa w trakcie trwania terapii TCI.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Możliwość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prowadzenia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znieczulenia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zewnątrzoponowego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opcjonalnego rozszerzenia oprogramowania pompy o tryb PCA i PCEA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Zakres ciśnienia okluzji od 75 mmHg do 900mmHg, z wyborem na 9 poziomach.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rozszerzenia zakresu ciśnienia okluzji o trzy dodatkowe poziomy 10 mmHg, 30 mmHg, 50 mmHg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Czujnik skoku/spadku ciśnienia w linii - (okluzji i  rozłączenia linii) bez konieczności stosowania specjalnych drenów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Dokładność czujnika skoku/spadku ciśnienia w linii możliwa do ustawienia na trzech poziomach 2mmHg, 8mmHg, 20mmHg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Prezentacja ciągłego pomiaru ciśnienia w linii w formie graficznej.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programowania objętości do podania (VTBD) 0,1- 9999 ml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programowania czasu infuzji przynajmniej od 1min – 99:59 godzin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stand-by programowana w zakresie 1 min - 23:59 godz.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Komunikacja pomp umieszczonych w stacji dokującej/stanowisko pacjenta z komputerem poprzez Ethernet - złącze RJ45. 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Bez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konieczności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stosowania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dodatkowych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kabli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np.RS232.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Pompa przygotowana do rozbudowy o moduł do bezprzewodowej komunikacji pomp z komputerem poza stacją dokującą 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Alarmy niezbędne do bezpiecznego prowadzenia terapii.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Menu 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języku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polskim</w:t>
            </w:r>
            <w:proofErr w:type="spellEnd"/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Historia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pracy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obejmująca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3000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wpisów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współpracy z czytnikiem kodów kreskowych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współpracy z systemem do kontrolowanej insulinoterapii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pracy pompy w środowisku MRI - w dedykowanej stacji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54.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Zużycie energii - pobór mocy przez jedną pompę maksymalnie 8VA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55.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Tabliczka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znamionowa</w:t>
            </w:r>
            <w:proofErr w:type="spellEnd"/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5BB" w:rsidRPr="00BB2B15" w:rsidRDefault="007B45BB" w:rsidP="00FD53CE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5BB" w:rsidRPr="00BB2B15" w:rsidRDefault="007B45BB" w:rsidP="00FD53CE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</w:pPr>
          </w:p>
        </w:tc>
      </w:tr>
      <w:tr w:rsidR="00641C5E" w:rsidRPr="00263B83" w:rsidTr="00227B83">
        <w:trPr>
          <w:trHeight w:val="170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1C5E" w:rsidRDefault="00641C5E" w:rsidP="004C17BF">
            <w:pPr>
              <w:spacing w:after="0" w:line="240" w:lineRule="auto"/>
              <w:rPr>
                <w:rFonts w:ascii="Tahoma" w:hAnsi="Tahoma" w:cs="Tahoma"/>
                <w:b/>
                <w:szCs w:val="24"/>
                <w:lang w:val="pl-PL"/>
              </w:rPr>
            </w:pPr>
            <w:r>
              <w:rPr>
                <w:rFonts w:ascii="Tahoma" w:hAnsi="Tahoma" w:cs="Tahoma"/>
                <w:b/>
                <w:szCs w:val="24"/>
                <w:lang w:val="pl-PL"/>
              </w:rPr>
              <w:t>Pozycja 2 Pompa infuzyjna wolumetryczna</w:t>
            </w:r>
            <w:r w:rsidRPr="00344075">
              <w:rPr>
                <w:rFonts w:ascii="Tahoma" w:hAnsi="Tahoma" w:cs="Tahoma"/>
                <w:b/>
                <w:szCs w:val="24"/>
                <w:lang w:val="pl-PL"/>
              </w:rPr>
              <w:t xml:space="preserve"> </w:t>
            </w:r>
            <w:r>
              <w:rPr>
                <w:rFonts w:ascii="Tahoma" w:hAnsi="Tahoma" w:cs="Tahoma"/>
                <w:b/>
                <w:szCs w:val="24"/>
                <w:lang w:val="pl-PL"/>
              </w:rPr>
              <w:t>– 8</w:t>
            </w:r>
            <w:r w:rsidRPr="00344075">
              <w:rPr>
                <w:rFonts w:ascii="Tahoma" w:hAnsi="Tahoma" w:cs="Tahoma"/>
                <w:b/>
                <w:szCs w:val="24"/>
                <w:lang w:val="pl-PL"/>
              </w:rPr>
              <w:t xml:space="preserve"> szt.</w:t>
            </w:r>
          </w:p>
          <w:p w:rsidR="004C17BF" w:rsidRPr="004C17BF" w:rsidRDefault="004C17BF" w:rsidP="004C17BF">
            <w:pPr>
              <w:spacing w:after="0" w:line="240" w:lineRule="auto"/>
              <w:rPr>
                <w:rFonts w:ascii="Tahoma" w:hAnsi="Tahoma" w:cs="Tahoma"/>
                <w:b/>
                <w:szCs w:val="24"/>
                <w:lang w:val="pl-PL"/>
              </w:rPr>
            </w:pPr>
          </w:p>
        </w:tc>
      </w:tr>
      <w:tr w:rsidR="007B45BB" w:rsidRPr="00D97EAA" w:rsidTr="00227B83">
        <w:trPr>
          <w:trHeight w:val="17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7B45BB" w:rsidRPr="00D97EAA" w:rsidRDefault="007B45BB" w:rsidP="00FD53C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II 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shd w:val="clear" w:color="auto" w:fill="92D050"/>
            <w:vAlign w:val="center"/>
            <w:hideMark/>
          </w:tcPr>
          <w:p w:rsidR="007B45BB" w:rsidRPr="00F056E4" w:rsidRDefault="007B45BB" w:rsidP="00FD5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F056E4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A13A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Pompa</w:t>
            </w:r>
            <w:proofErr w:type="spellEnd"/>
            <w:r w:rsidRPr="00CA13A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infuzyjna</w:t>
            </w:r>
            <w:proofErr w:type="spellEnd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wolumetryczna</w:t>
            </w:r>
            <w:proofErr w:type="spellEnd"/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Pompa objętościowa sterowana  elektronicznie, umożliwiająca współpracę z systemem centralnego zasilania i zarządzania danymi, przeznaczona do stosowania u dorosłych, dzieci oraz noworodków w celu okresowego lub ciągłego  podawania leków zalecanych do terapii infuzyjnej, w skład których wchodzą m.in. koloidy i krystaloidy, krew i składniki krwi, płyny używane do całkowitego żywienia pozajelitowego (TPN); lipidy i płyny stosowane w żywieniu dojelitowym.- </w:t>
            </w:r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Napięcie 11-16 V DC, zasilanie przy użyciu zasilacza zewnętrznego lub Stacji Dokującej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Dokładność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mechaniczna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&lt;&lt;±0,5%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Możliwość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podaży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preparatów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krwiopochodnych</w:t>
            </w:r>
            <w:proofErr w:type="spellEnd"/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Możliwość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podaży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żywienia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dojelitowego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podaży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cytostatyków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w układzie zamkniętym zgodnie z definicją NIOSH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Mechanizm zabezpieczający  przed swobodnym  niekontrolowanym przepływem składający się z dwóch elementów – jeden w pompie jeden na drenie.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Kolorystyczne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kodowanie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zacisków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szczelinowych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zależności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stosowanej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terapii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Zasilanie z akumulatora wewnętrznego min 10 h. przy przepływie 25 ml/h.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Masa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pompy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max. 1,5 kg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Pompa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zajmujaca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przestrzeń nie większą niż 2 500 cm3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Odłączalny uchwyt do przenoszenia i mocowania pompy do rur i szyn medycznych pionowych i poziomych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łączenia 2 i 3 pomp w moduły bez użycia stacji dokującej.</w:t>
            </w:r>
          </w:p>
        </w:tc>
      </w:tr>
      <w:tr w:rsidR="007B45BB" w:rsidRPr="00263B83" w:rsidTr="00227B83">
        <w:trPr>
          <w:trHeight w:val="216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14.</w:t>
            </w:r>
          </w:p>
        </w:tc>
        <w:tc>
          <w:tcPr>
            <w:tcW w:w="8221" w:type="dxa"/>
            <w:hideMark/>
          </w:tcPr>
          <w:p w:rsidR="007B45BB" w:rsidRPr="00BB7F18" w:rsidRDefault="007B45BB" w:rsidP="00BB7F1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BB2B15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Odłączalny uchwyt do przenoszenia zestaw 2 i 3 pomp zasilanych jednym przewodem.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Podświetlany ekran i przyciski z możliwością regulacji na 9 poziomach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Regulacja głośności w zakresie od 59dBA do 74dBA na 9 poziomach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Regulacja jasności i kontrastu ekranu na 9 poziomach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programowania parametrów infuzji w mg,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mcg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, U lub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mmol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,   z uwzględnieniem lub nie masy ciała w odniesieniu do czasu ( np. mg/kg/min; mg/kg/h; mg/kg/24h)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Zakres prędkości infuzji min. 0,1 do 1 200 ml/h  Prędkość infuzji w zakresie od 0,1 - 99,99ml/h 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lastRenderedPageBreak/>
              <w:t>programowana co 0,01ml/godz.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20.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programowania objętości do podania (VTBD) min. 9999 ml.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Zmiana szybkości infuzji bez konieczności przerywania wlewu.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Wypełnienie drenu ze stale widoczną na ekranie i możliwą do kontrolowania  informacją o przetoczonej objętości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utworzenia Bazy Leków używanych 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infuzjoterapii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na terenie szpitala  z możliwością zastosowania oprogramowania do tworzenia Bibliotek Leków na poszczególne oddziały.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skonfigurowania do 50 oddziałów w jednej pompie.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Biblioteka Leków zawierająca 1 200  leków z możliwością podzielenia na min. 30 grup.  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Biblioteka leków zawierająca po 10 stężeń dla każdego leku.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Leki zawarte w Bibliotece Leków powiązane z parametrami infuzji (limity względne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min-max;limity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bezwzględne min-max, parametry standardowe), możliwość wyświetlania naprzemiennego nazwy leku i/lub wybranych parametrów infuzji.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infuzji dołączanej (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piggyback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)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infuzji przy stopniowym wzroście i spadku prędkości. Infuzja składa się z trzech faz: wzrostu, utrzymania i spadku.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Automatyczne prowadzenie infuzji w trybie okresowym,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składającycm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się z dwóch faz: bolusa i prędkości.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infuzji w trybie programowanym, z możliwością zaprogramowania 12 faz. Każda faza o określonych parametrach takich jak prędkość, czas, objętość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terapii dawka w czasie. Po wprowadzeniu parametrów dawki i czasu pompa automatycznie obliczy prędkość infuzji.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Automatyczne przekazywanie danych o podawanym żywieniu (pozajelitowym i dojelitowym) do systemu kontrolowanej insulinoterapii. 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bibliotece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leków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zawarte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dane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żywienia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Bolus o określonej  objętości . Bolus podawany na żądanie .Maksymalna objętość bolusa po alarmie okluzji ≤0,2ml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precyzyjnej podaży z lub bez czujnika kropli.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KVO z możliwością  wyłączenia funkcji przez użytkownika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Prezentacja ciągłego pomiaru ciśnienia w linii w formie graficznej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Akustyczno-optyczny system alarmów i ostrzeżeń 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Menu 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języku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polskim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programowania czasu infuzji przynajmniej od 1min – 99:59 godzin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łączenia pomp w moduły bez użycia stacji dokującej - 3 pompy.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opcjonalnego rozszerzenia oprogramowania pompy o tryb TCI  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opcjonalnego rozszerzenia oprogramowania pompy o tryb PCA i PCEA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Zakres ciśnienia okluzji od 225 mmHg do 900mmHg, z wyborem na 9 poziomach.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rozszerzenia zakresu ciśnienia okluzji o trzy dodatkowe poziomy 50 mmHg, 100 mmHg, 150 mmHg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Czułość techniczna – wykrywanie pojedynczych pęcherzyków powietrza ≤ 0,01 ml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Komunikacja pomp umieszczonych w stacji dokującej/stanowisko pacjenta z komputerem poprzez Ethernet - złącze RJ45. 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Bez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konieczności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stosowania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dodatkowych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kabli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np.RS232.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Pompa przygotowana do rozbudowy o moduł do bezprzewodowej komunikacji pomp z komputerem poza stacją dokującą 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W przypadku niewłaściwej dawki 1,4 ml spowodowanej niepoprawnym działaniem urządzenia, pompa wyłączy się automatycznie.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Alarmy niezbędne do bezpiecznego prowadzenia terapii.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Historia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pracy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obejmująca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3000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wpisów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współpracy z czytnikiem  kodów kreskowych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współpracy z systemem do kontrolowanej insulinoterapii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54.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pracy pompy w środowisku MRI - w dedykowanej stacji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55.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Zużycie energii - pobór mocy przez jedną pompę maksymalnie 8VA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5BB" w:rsidRPr="007B45BB" w:rsidRDefault="007B45BB" w:rsidP="00FD53C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5BB" w:rsidRPr="007B45BB" w:rsidRDefault="007B45BB" w:rsidP="007A4540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pl-PL" w:eastAsia="pl-PL"/>
              </w:rPr>
            </w:pPr>
          </w:p>
        </w:tc>
      </w:tr>
      <w:tr w:rsidR="00475EE5" w:rsidRPr="00344075" w:rsidTr="00227B83">
        <w:trPr>
          <w:trHeight w:val="17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5EE5" w:rsidRDefault="00475EE5" w:rsidP="00475EE5">
            <w:pPr>
              <w:spacing w:after="0" w:line="240" w:lineRule="auto"/>
              <w:rPr>
                <w:rFonts w:ascii="Tahoma" w:hAnsi="Tahoma" w:cs="Tahoma"/>
                <w:b/>
                <w:szCs w:val="24"/>
                <w:lang w:val="pl-PL"/>
              </w:rPr>
            </w:pPr>
            <w:r>
              <w:rPr>
                <w:rFonts w:ascii="Tahoma" w:hAnsi="Tahoma" w:cs="Tahoma"/>
                <w:b/>
                <w:szCs w:val="24"/>
                <w:lang w:val="pl-PL"/>
              </w:rPr>
              <w:t>Pozycja 3 Stacja dokująca</w:t>
            </w:r>
            <w:r w:rsidRPr="00344075">
              <w:rPr>
                <w:rFonts w:ascii="Tahoma" w:hAnsi="Tahoma" w:cs="Tahoma"/>
                <w:b/>
                <w:szCs w:val="24"/>
                <w:lang w:val="pl-PL"/>
              </w:rPr>
              <w:t xml:space="preserve"> </w:t>
            </w:r>
            <w:r>
              <w:rPr>
                <w:rFonts w:ascii="Tahoma" w:hAnsi="Tahoma" w:cs="Tahoma"/>
                <w:b/>
                <w:szCs w:val="24"/>
                <w:lang w:val="pl-PL"/>
              </w:rPr>
              <w:t>– 8</w:t>
            </w:r>
            <w:r w:rsidRPr="00344075">
              <w:rPr>
                <w:rFonts w:ascii="Tahoma" w:hAnsi="Tahoma" w:cs="Tahoma"/>
                <w:b/>
                <w:szCs w:val="24"/>
                <w:lang w:val="pl-PL"/>
              </w:rPr>
              <w:t xml:space="preserve"> szt.</w:t>
            </w:r>
          </w:p>
          <w:p w:rsidR="00475EE5" w:rsidRPr="007B45BB" w:rsidRDefault="00475EE5" w:rsidP="007A4540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pl-PL" w:eastAsia="pl-PL"/>
              </w:rPr>
            </w:pPr>
          </w:p>
        </w:tc>
      </w:tr>
      <w:tr w:rsidR="007B45BB" w:rsidRPr="00D97EAA" w:rsidTr="00227B83">
        <w:trPr>
          <w:trHeight w:val="170"/>
        </w:trPr>
        <w:tc>
          <w:tcPr>
            <w:tcW w:w="851" w:type="dxa"/>
            <w:shd w:val="clear" w:color="auto" w:fill="92D050"/>
            <w:vAlign w:val="center"/>
          </w:tcPr>
          <w:p w:rsidR="007B45BB" w:rsidRPr="00D97EAA" w:rsidRDefault="007B45BB" w:rsidP="00FD53C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7B45BB" w:rsidRPr="00F056E4" w:rsidRDefault="007B45BB" w:rsidP="007A4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F056E4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Stacja</w:t>
            </w:r>
            <w:proofErr w:type="spellEnd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dokująca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8221" w:type="dxa"/>
            <w:hideMark/>
          </w:tcPr>
          <w:p w:rsidR="007B45BB" w:rsidRPr="002030C9" w:rsidRDefault="007B45BB" w:rsidP="00433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Stacja dokująca na 4 pompy opisane powyżej która umożliwia mocowanie na stojakach infuzyjnych i pionowych rurach, np. systemach podwieszanych, jak również do poziomych naściennych</w:t>
            </w:r>
          </w:p>
          <w:p w:rsidR="007B45BB" w:rsidRPr="002030C9" w:rsidRDefault="007B45BB" w:rsidP="00433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syst</w:t>
            </w:r>
            <w:r w:rsidR="00FE24EE"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emów prowadnic </w:t>
            </w: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bez konieczności stosowania dodatkowych</w:t>
            </w:r>
          </w:p>
          <w:p w:rsidR="007B45BB" w:rsidRPr="00BB2B15" w:rsidRDefault="007B45BB" w:rsidP="00433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adapterów lub akcesoriów montażowych.- 8 sztuk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System szybkiego mocowania pomp do stacji dokującej bez przerywania przepływu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dowolnej konfiguracji  ilości pomp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strzykawkowych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i objętościowych w stacji dokującej przy każdym stanowisku pacjenta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Mocowanie stacji dokującej do rury pionowej lub poziomej bez dodatkowego oprzyrządowania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Oprócz mocowania uchwyt do przenoszenia modułu  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wymiany akumulatora przez użytkownika bez użycia narzędzi.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rozbudowy stacji dokującej i przystosowanie do maximum </w:t>
            </w:r>
            <w:r w:rsidRPr="00BB2B1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24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pomp na stanowisko.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współpracy z czytnikiem  kodów paskowych .  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obserwacji infuzji z minimum maximum </w:t>
            </w:r>
            <w:r w:rsidRPr="00BB2B1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24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pomp na stanowisko.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współpracy z Systemem do kontrolowanej insulinoterapii</w:t>
            </w:r>
          </w:p>
        </w:tc>
      </w:tr>
    </w:tbl>
    <w:p w:rsidR="0012576B" w:rsidRPr="006B6094" w:rsidRDefault="0012576B">
      <w:pPr>
        <w:rPr>
          <w:lang w:val="pl-PL"/>
        </w:rPr>
      </w:pPr>
      <w:bookmarkStart w:id="0" w:name="_GoBack"/>
      <w:bookmarkEnd w:id="0"/>
    </w:p>
    <w:sectPr w:rsidR="0012576B" w:rsidRPr="006B6094" w:rsidSect="00E03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90F" w:rsidRDefault="0018790F" w:rsidP="004040AA">
      <w:pPr>
        <w:spacing w:after="0" w:line="240" w:lineRule="auto"/>
      </w:pPr>
      <w:r>
        <w:separator/>
      </w:r>
    </w:p>
  </w:endnote>
  <w:endnote w:type="continuationSeparator" w:id="0">
    <w:p w:rsidR="0018790F" w:rsidRDefault="0018790F" w:rsidP="0040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CE" w:rsidRDefault="00FD53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CE" w:rsidRDefault="00FD53C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CE" w:rsidRDefault="00FD53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90F" w:rsidRDefault="0018790F" w:rsidP="004040AA">
      <w:pPr>
        <w:spacing w:after="0" w:line="240" w:lineRule="auto"/>
      </w:pPr>
      <w:r>
        <w:separator/>
      </w:r>
    </w:p>
  </w:footnote>
  <w:footnote w:type="continuationSeparator" w:id="0">
    <w:p w:rsidR="0018790F" w:rsidRDefault="0018790F" w:rsidP="0040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CE" w:rsidRDefault="00FD53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CE" w:rsidRPr="00A7452E" w:rsidRDefault="00196165" w:rsidP="00A7452E">
    <w:pPr>
      <w:pStyle w:val="Nagwek"/>
    </w:pPr>
    <w:r>
      <w:rPr>
        <w:noProof/>
      </w:rPr>
      <w:drawing>
        <wp:inline distT="0" distB="0" distL="0" distR="0" wp14:anchorId="53002ADE">
          <wp:extent cx="5781040" cy="628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C6642">
      <w:rPr>
        <w:lang w:val="pl-PL"/>
      </w:rPr>
      <w:t>WCPIT/EA/381-01/2022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CE" w:rsidRDefault="00FD53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2E8F"/>
    <w:multiLevelType w:val="multilevel"/>
    <w:tmpl w:val="C6DEA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AA"/>
    <w:rsid w:val="000041C3"/>
    <w:rsid w:val="00005279"/>
    <w:rsid w:val="0002541A"/>
    <w:rsid w:val="000530E7"/>
    <w:rsid w:val="000737C2"/>
    <w:rsid w:val="00081672"/>
    <w:rsid w:val="00083648"/>
    <w:rsid w:val="0009629E"/>
    <w:rsid w:val="000B3129"/>
    <w:rsid w:val="000C57E6"/>
    <w:rsid w:val="000D74F2"/>
    <w:rsid w:val="0012576B"/>
    <w:rsid w:val="00131F1B"/>
    <w:rsid w:val="00153758"/>
    <w:rsid w:val="00172E9C"/>
    <w:rsid w:val="0018790F"/>
    <w:rsid w:val="00196165"/>
    <w:rsid w:val="001C6642"/>
    <w:rsid w:val="001E17E3"/>
    <w:rsid w:val="001F5905"/>
    <w:rsid w:val="002030C9"/>
    <w:rsid w:val="00206B3D"/>
    <w:rsid w:val="00211E06"/>
    <w:rsid w:val="00215A8F"/>
    <w:rsid w:val="00217865"/>
    <w:rsid w:val="00227B83"/>
    <w:rsid w:val="0024312A"/>
    <w:rsid w:val="00243A9E"/>
    <w:rsid w:val="0025544E"/>
    <w:rsid w:val="0026333B"/>
    <w:rsid w:val="00263B83"/>
    <w:rsid w:val="002800D6"/>
    <w:rsid w:val="00280192"/>
    <w:rsid w:val="002C2299"/>
    <w:rsid w:val="002D72B2"/>
    <w:rsid w:val="00302EAA"/>
    <w:rsid w:val="00313D3F"/>
    <w:rsid w:val="00331C22"/>
    <w:rsid w:val="00336CAE"/>
    <w:rsid w:val="00341609"/>
    <w:rsid w:val="00344075"/>
    <w:rsid w:val="003521D3"/>
    <w:rsid w:val="00363CEA"/>
    <w:rsid w:val="00385A76"/>
    <w:rsid w:val="003B0E67"/>
    <w:rsid w:val="003B743A"/>
    <w:rsid w:val="003C2AF2"/>
    <w:rsid w:val="003C50A6"/>
    <w:rsid w:val="003C5244"/>
    <w:rsid w:val="003C5EE8"/>
    <w:rsid w:val="003C659A"/>
    <w:rsid w:val="003D62CB"/>
    <w:rsid w:val="003F4C61"/>
    <w:rsid w:val="004040AA"/>
    <w:rsid w:val="0042225A"/>
    <w:rsid w:val="00433185"/>
    <w:rsid w:val="004441C1"/>
    <w:rsid w:val="004743A5"/>
    <w:rsid w:val="00475EE5"/>
    <w:rsid w:val="00477C46"/>
    <w:rsid w:val="00481750"/>
    <w:rsid w:val="00487294"/>
    <w:rsid w:val="004922D0"/>
    <w:rsid w:val="004B5F74"/>
    <w:rsid w:val="004C17BF"/>
    <w:rsid w:val="00502A13"/>
    <w:rsid w:val="00502E75"/>
    <w:rsid w:val="005062FC"/>
    <w:rsid w:val="00510D48"/>
    <w:rsid w:val="005220DE"/>
    <w:rsid w:val="00544012"/>
    <w:rsid w:val="00544642"/>
    <w:rsid w:val="00584D08"/>
    <w:rsid w:val="005A4130"/>
    <w:rsid w:val="005C16D8"/>
    <w:rsid w:val="005C6FB0"/>
    <w:rsid w:val="005F6969"/>
    <w:rsid w:val="00603713"/>
    <w:rsid w:val="006272D7"/>
    <w:rsid w:val="00634E90"/>
    <w:rsid w:val="006406BC"/>
    <w:rsid w:val="00641C5E"/>
    <w:rsid w:val="00692D05"/>
    <w:rsid w:val="006B39DC"/>
    <w:rsid w:val="006B4A47"/>
    <w:rsid w:val="006B6094"/>
    <w:rsid w:val="006C757E"/>
    <w:rsid w:val="006D7D76"/>
    <w:rsid w:val="006E0876"/>
    <w:rsid w:val="006E5855"/>
    <w:rsid w:val="006F1E2D"/>
    <w:rsid w:val="006F2355"/>
    <w:rsid w:val="006F600D"/>
    <w:rsid w:val="006F631F"/>
    <w:rsid w:val="007101C5"/>
    <w:rsid w:val="00715E3D"/>
    <w:rsid w:val="00724419"/>
    <w:rsid w:val="007305FD"/>
    <w:rsid w:val="00732FBF"/>
    <w:rsid w:val="00782182"/>
    <w:rsid w:val="007A4540"/>
    <w:rsid w:val="007B45BB"/>
    <w:rsid w:val="007D7CD8"/>
    <w:rsid w:val="007E1261"/>
    <w:rsid w:val="007E21E4"/>
    <w:rsid w:val="007E221B"/>
    <w:rsid w:val="00812E89"/>
    <w:rsid w:val="008262B6"/>
    <w:rsid w:val="00836BF3"/>
    <w:rsid w:val="00844898"/>
    <w:rsid w:val="008506B1"/>
    <w:rsid w:val="00851B1A"/>
    <w:rsid w:val="00857E1E"/>
    <w:rsid w:val="008600AD"/>
    <w:rsid w:val="00866DB6"/>
    <w:rsid w:val="00881506"/>
    <w:rsid w:val="008C49F2"/>
    <w:rsid w:val="008E5481"/>
    <w:rsid w:val="008F350B"/>
    <w:rsid w:val="008F6E6C"/>
    <w:rsid w:val="009034D3"/>
    <w:rsid w:val="009254B0"/>
    <w:rsid w:val="00946B56"/>
    <w:rsid w:val="00961280"/>
    <w:rsid w:val="0097345E"/>
    <w:rsid w:val="00986C71"/>
    <w:rsid w:val="00994190"/>
    <w:rsid w:val="009977BF"/>
    <w:rsid w:val="009B4D3D"/>
    <w:rsid w:val="009D41BC"/>
    <w:rsid w:val="009E4A89"/>
    <w:rsid w:val="00A035B9"/>
    <w:rsid w:val="00A05C31"/>
    <w:rsid w:val="00A068AA"/>
    <w:rsid w:val="00A13713"/>
    <w:rsid w:val="00A351AE"/>
    <w:rsid w:val="00A71EFF"/>
    <w:rsid w:val="00A7452E"/>
    <w:rsid w:val="00A82B20"/>
    <w:rsid w:val="00A9275D"/>
    <w:rsid w:val="00A96888"/>
    <w:rsid w:val="00AD2853"/>
    <w:rsid w:val="00AD7ECC"/>
    <w:rsid w:val="00AF54C2"/>
    <w:rsid w:val="00B4253C"/>
    <w:rsid w:val="00B44A3E"/>
    <w:rsid w:val="00B62AB0"/>
    <w:rsid w:val="00B64D28"/>
    <w:rsid w:val="00BA22BA"/>
    <w:rsid w:val="00BB2B15"/>
    <w:rsid w:val="00BB7F18"/>
    <w:rsid w:val="00BF2A4C"/>
    <w:rsid w:val="00C10382"/>
    <w:rsid w:val="00C269B6"/>
    <w:rsid w:val="00C27697"/>
    <w:rsid w:val="00C54363"/>
    <w:rsid w:val="00C72BFD"/>
    <w:rsid w:val="00C83AE6"/>
    <w:rsid w:val="00CA13A9"/>
    <w:rsid w:val="00CB2C19"/>
    <w:rsid w:val="00CD5D3B"/>
    <w:rsid w:val="00CE03AC"/>
    <w:rsid w:val="00CE1063"/>
    <w:rsid w:val="00CE20F8"/>
    <w:rsid w:val="00CE4713"/>
    <w:rsid w:val="00CF10FC"/>
    <w:rsid w:val="00CF4260"/>
    <w:rsid w:val="00CF6E2A"/>
    <w:rsid w:val="00D164CE"/>
    <w:rsid w:val="00D57077"/>
    <w:rsid w:val="00D7595F"/>
    <w:rsid w:val="00D84A9D"/>
    <w:rsid w:val="00D8516C"/>
    <w:rsid w:val="00D97EAA"/>
    <w:rsid w:val="00DC1CA2"/>
    <w:rsid w:val="00DC723E"/>
    <w:rsid w:val="00DE3415"/>
    <w:rsid w:val="00DF4F26"/>
    <w:rsid w:val="00E03C65"/>
    <w:rsid w:val="00E220B0"/>
    <w:rsid w:val="00E30EAD"/>
    <w:rsid w:val="00E54175"/>
    <w:rsid w:val="00E55BEA"/>
    <w:rsid w:val="00E603A8"/>
    <w:rsid w:val="00EE5549"/>
    <w:rsid w:val="00EE6293"/>
    <w:rsid w:val="00F056E4"/>
    <w:rsid w:val="00F12F5E"/>
    <w:rsid w:val="00F20476"/>
    <w:rsid w:val="00F23454"/>
    <w:rsid w:val="00F85AE8"/>
    <w:rsid w:val="00F86BA1"/>
    <w:rsid w:val="00F97345"/>
    <w:rsid w:val="00FA52B5"/>
    <w:rsid w:val="00FB0858"/>
    <w:rsid w:val="00FC09E5"/>
    <w:rsid w:val="00FD0D3D"/>
    <w:rsid w:val="00FD2163"/>
    <w:rsid w:val="00FD53CE"/>
    <w:rsid w:val="00FE24EE"/>
    <w:rsid w:val="00F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0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40AA"/>
  </w:style>
  <w:style w:type="paragraph" w:styleId="Stopka">
    <w:name w:val="footer"/>
    <w:basedOn w:val="Normalny"/>
    <w:link w:val="StopkaZnak"/>
    <w:uiPriority w:val="99"/>
    <w:semiHidden/>
    <w:unhideWhenUsed/>
    <w:rsid w:val="0040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40AA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B6094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6B6094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</w:rPr>
  </w:style>
  <w:style w:type="table" w:styleId="Tabela-Siatka">
    <w:name w:val="Table Grid"/>
    <w:basedOn w:val="Standardowy"/>
    <w:rsid w:val="006B609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0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40AA"/>
  </w:style>
  <w:style w:type="paragraph" w:styleId="Stopka">
    <w:name w:val="footer"/>
    <w:basedOn w:val="Normalny"/>
    <w:link w:val="StopkaZnak"/>
    <w:uiPriority w:val="99"/>
    <w:semiHidden/>
    <w:unhideWhenUsed/>
    <w:rsid w:val="0040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40AA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B6094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6B6094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</w:rPr>
  </w:style>
  <w:style w:type="table" w:styleId="Tabela-Siatka">
    <w:name w:val="Table Grid"/>
    <w:basedOn w:val="Standardowy"/>
    <w:rsid w:val="006B609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110</cp:revision>
  <dcterms:created xsi:type="dcterms:W3CDTF">2021-09-09T11:16:00Z</dcterms:created>
  <dcterms:modified xsi:type="dcterms:W3CDTF">2022-01-10T11:59:00Z</dcterms:modified>
</cp:coreProperties>
</file>