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6476A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6476A2" w:rsidRDefault="00922275" w:rsidP="006476A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476A2">
        <w:rPr>
          <w:rFonts w:ascii="Verdana" w:hAnsi="Verdana"/>
          <w:sz w:val="20"/>
          <w:szCs w:val="20"/>
        </w:rPr>
        <w:t xml:space="preserve">Przedmiotem Umowy jest </w:t>
      </w:r>
      <w:r w:rsidRPr="002E2795">
        <w:rPr>
          <w:rFonts w:ascii="Verdana" w:hAnsi="Verdana"/>
          <w:b/>
          <w:sz w:val="20"/>
          <w:szCs w:val="20"/>
        </w:rPr>
        <w:t>dostawa</w:t>
      </w:r>
      <w:r w:rsidR="000B4179" w:rsidRPr="006476A2">
        <w:rPr>
          <w:rFonts w:ascii="Verdana" w:hAnsi="Verdana"/>
          <w:sz w:val="20"/>
          <w:szCs w:val="20"/>
        </w:rPr>
        <w:t xml:space="preserve"> </w:t>
      </w:r>
      <w:r w:rsidR="006476A2" w:rsidRPr="006476A2">
        <w:rPr>
          <w:rFonts w:ascii="Verdana" w:hAnsi="Verdana"/>
          <w:b/>
          <w:sz w:val="20"/>
          <w:szCs w:val="20"/>
        </w:rPr>
        <w:t>albumin, immunoglobulin, wyciągów jadów owadów błonkoskrzydłych</w:t>
      </w:r>
      <w:r w:rsidR="00084D82" w:rsidRPr="006476A2">
        <w:rPr>
          <w:rFonts w:ascii="Verdana" w:hAnsi="Verdana"/>
          <w:sz w:val="20"/>
          <w:szCs w:val="20"/>
        </w:rPr>
        <w:t>,</w:t>
      </w:r>
      <w:r w:rsidR="00C13B93" w:rsidRPr="006476A2">
        <w:rPr>
          <w:rFonts w:ascii="Verdana" w:hAnsi="Verdana"/>
          <w:sz w:val="20"/>
          <w:szCs w:val="20"/>
        </w:rPr>
        <w:t xml:space="preserve"> </w:t>
      </w:r>
      <w:r w:rsidRPr="006476A2">
        <w:rPr>
          <w:rFonts w:ascii="Verdana" w:hAnsi="Verdana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6476A2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6476A2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6476A2">
        <w:rPr>
          <w:rFonts w:ascii="Verdana" w:hAnsi="Verdana" w:cs="Arial"/>
          <w:bCs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>
        <w:rPr>
          <w:rFonts w:ascii="Verdana" w:hAnsi="Verdana" w:cs="Arial"/>
          <w:sz w:val="20"/>
          <w:szCs w:val="20"/>
        </w:rPr>
        <w:t>termo</w:t>
      </w:r>
      <w:r w:rsidR="00E80C33" w:rsidRPr="00AD708B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AD708B" w:rsidRDefault="00922275" w:rsidP="006476A2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B913AD">
        <w:rPr>
          <w:rFonts w:ascii="Verdana" w:hAnsi="Verdana"/>
          <w:b/>
          <w:color w:val="auto"/>
          <w:sz w:val="20"/>
          <w:szCs w:val="20"/>
          <w:highlight w:val="yellow"/>
        </w:rPr>
        <w:lastRenderedPageBreak/>
        <w:t xml:space="preserve">Termin </w:t>
      </w:r>
      <w:r w:rsidR="00B00A37" w:rsidRPr="00B913AD">
        <w:rPr>
          <w:rFonts w:ascii="Verdana" w:hAnsi="Verdana"/>
          <w:b/>
          <w:color w:val="auto"/>
          <w:sz w:val="20"/>
          <w:szCs w:val="20"/>
          <w:highlight w:val="yellow"/>
        </w:rPr>
        <w:t xml:space="preserve">obowiązywania umowy </w:t>
      </w:r>
      <w:r w:rsidR="004531BF">
        <w:rPr>
          <w:rFonts w:ascii="Verdana" w:hAnsi="Verdana"/>
          <w:b/>
          <w:color w:val="auto"/>
          <w:sz w:val="20"/>
          <w:szCs w:val="20"/>
          <w:highlight w:val="yellow"/>
        </w:rPr>
        <w:t>11</w:t>
      </w:r>
      <w:r w:rsidR="00AA4A85" w:rsidRPr="00B913AD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miesięcy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E2795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2E2795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="006476A2" w:rsidRPr="002E2795">
        <w:rPr>
          <w:rFonts w:ascii="Verdana" w:hAnsi="Verdana"/>
          <w:b/>
          <w:color w:val="auto"/>
          <w:sz w:val="20"/>
          <w:szCs w:val="20"/>
        </w:rPr>
        <w:t xml:space="preserve">20 </w:t>
      </w:r>
      <w:r w:rsidR="002656B9" w:rsidRPr="002E2795">
        <w:rPr>
          <w:rFonts w:ascii="Verdana" w:hAnsi="Verdana"/>
          <w:b/>
          <w:color w:val="auto"/>
          <w:sz w:val="20"/>
          <w:szCs w:val="20"/>
        </w:rPr>
        <w:t>% wartości</w:t>
      </w:r>
      <w:r w:rsidR="002656B9" w:rsidRPr="002E2795">
        <w:rPr>
          <w:rFonts w:ascii="Verdana" w:hAnsi="Verdana"/>
          <w:color w:val="auto"/>
          <w:sz w:val="20"/>
          <w:szCs w:val="20"/>
        </w:rPr>
        <w:t xml:space="preserve"> umowy</w:t>
      </w:r>
      <w:r w:rsidR="000941BC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2E2795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2E2795">
        <w:rPr>
          <w:rFonts w:ascii="Verdana" w:hAnsi="Verdana"/>
          <w:color w:val="auto"/>
          <w:sz w:val="20"/>
          <w:szCs w:val="20"/>
        </w:rPr>
        <w:t>o</w:t>
      </w:r>
      <w:r w:rsidR="0086412D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E2795">
        <w:rPr>
          <w:rFonts w:ascii="Verdana" w:hAnsi="Verdana"/>
          <w:color w:val="auto"/>
          <w:sz w:val="20"/>
          <w:szCs w:val="20"/>
        </w:rPr>
        <w:t>zrealizowani</w:t>
      </w:r>
      <w:r w:rsidR="00783253" w:rsidRPr="002E2795">
        <w:rPr>
          <w:rFonts w:ascii="Verdana" w:hAnsi="Verdana"/>
          <w:color w:val="auto"/>
          <w:sz w:val="20"/>
          <w:szCs w:val="20"/>
        </w:rPr>
        <w:t>e</w:t>
      </w:r>
      <w:r w:rsidR="00996897" w:rsidRPr="002E2795">
        <w:rPr>
          <w:rFonts w:ascii="Verdana" w:hAnsi="Verdana"/>
          <w:color w:val="auto"/>
          <w:sz w:val="20"/>
          <w:szCs w:val="20"/>
        </w:rPr>
        <w:t xml:space="preserve"> </w:t>
      </w:r>
      <w:r w:rsidRPr="002E2795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</w:t>
      </w:r>
      <w:r w:rsidR="000941BC">
        <w:rPr>
          <w:rFonts w:ascii="Verdana" w:hAnsi="Verdana" w:cs="Calibri"/>
          <w:sz w:val="20"/>
          <w:szCs w:val="20"/>
        </w:rPr>
        <w:t>……………..</w:t>
      </w:r>
      <w:r>
        <w:rPr>
          <w:rFonts w:ascii="Verdana" w:hAnsi="Verdana" w:cs="Calibri"/>
          <w:sz w:val="20"/>
          <w:szCs w:val="20"/>
        </w:rPr>
        <w:t xml:space="preserve">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Wartość umowy nie </w:t>
      </w:r>
      <w:r w:rsidRPr="00B913AD">
        <w:rPr>
          <w:rFonts w:ascii="Verdana" w:hAnsi="Verdana" w:cs="Calibri"/>
          <w:b/>
          <w:color w:val="auto"/>
          <w:sz w:val="20"/>
          <w:szCs w:val="20"/>
          <w:highlight w:val="yellow"/>
        </w:rPr>
        <w:t>przekroczy kwoty.................... zł brutto</w:t>
      </w:r>
      <w:r w:rsidRPr="00B913AD">
        <w:rPr>
          <w:rFonts w:ascii="Verdana" w:hAnsi="Verdana" w:cs="Calibri"/>
          <w:b/>
          <w:color w:val="auto"/>
          <w:sz w:val="20"/>
          <w:szCs w:val="20"/>
        </w:rPr>
        <w:t>,</w:t>
      </w:r>
      <w:r>
        <w:rPr>
          <w:rFonts w:ascii="Verdana" w:hAnsi="Verdana" w:cs="Calibri"/>
          <w:color w:val="auto"/>
          <w:sz w:val="20"/>
          <w:szCs w:val="20"/>
        </w:rPr>
        <w:t xml:space="preserve">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047A5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047A5A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4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4" w:rsidRDefault="00891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4" w:rsidRDefault="008914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91424">
      <w:rPr>
        <w:rFonts w:ascii="Arial" w:hAnsi="Arial" w:cs="Arial"/>
        <w:sz w:val="18"/>
        <w:szCs w:val="18"/>
      </w:rPr>
      <w:t>25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4" w:rsidRDefault="008914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2D929358"/>
    <w:lvl w:ilvl="0" w:tplc="37B45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47A5A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41BC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482A"/>
    <w:rsid w:val="001458BE"/>
    <w:rsid w:val="0015132B"/>
    <w:rsid w:val="00156884"/>
    <w:rsid w:val="0016066B"/>
    <w:rsid w:val="00162B4C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01B5"/>
    <w:rsid w:val="002E2795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25DE"/>
    <w:rsid w:val="003979F1"/>
    <w:rsid w:val="003B523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531BF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1AF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476A2"/>
    <w:rsid w:val="00656C99"/>
    <w:rsid w:val="006632AF"/>
    <w:rsid w:val="006661EE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6412D"/>
    <w:rsid w:val="00883C6E"/>
    <w:rsid w:val="00884805"/>
    <w:rsid w:val="0089109E"/>
    <w:rsid w:val="00891424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48D0"/>
    <w:rsid w:val="009C5386"/>
    <w:rsid w:val="009C7A14"/>
    <w:rsid w:val="009D2453"/>
    <w:rsid w:val="009E0A96"/>
    <w:rsid w:val="009E390F"/>
    <w:rsid w:val="009E7FF8"/>
    <w:rsid w:val="009F6B78"/>
    <w:rsid w:val="00A04068"/>
    <w:rsid w:val="00A0543C"/>
    <w:rsid w:val="00A10DCD"/>
    <w:rsid w:val="00A242F5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13AD"/>
    <w:rsid w:val="00B93CF6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3</cp:revision>
  <cp:lastPrinted>2013-05-31T07:55:00Z</cp:lastPrinted>
  <dcterms:created xsi:type="dcterms:W3CDTF">2022-04-28T10:18:00Z</dcterms:created>
  <dcterms:modified xsi:type="dcterms:W3CDTF">2022-05-04T08:21:00Z</dcterms:modified>
</cp:coreProperties>
</file>