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BD4D86">
        <w:rPr>
          <w:sz w:val="20"/>
          <w:szCs w:val="20"/>
        </w:rPr>
        <w:t xml:space="preserve">81-38/2021 </w:t>
      </w:r>
      <w:r w:rsidR="00BD4D86">
        <w:rPr>
          <w:sz w:val="20"/>
          <w:szCs w:val="20"/>
        </w:rPr>
        <w:tab/>
      </w:r>
      <w:r w:rsidR="00BD4D86">
        <w:rPr>
          <w:sz w:val="20"/>
          <w:szCs w:val="20"/>
        </w:rPr>
        <w:tab/>
        <w:t>Poznań, 2022-07- 27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F09B6" w:rsidRPr="00BF09B6">
        <w:rPr>
          <w:rFonts w:asciiTheme="minorHAnsi" w:hAnsiTheme="minorHAnsi" w:cstheme="minorHAnsi"/>
          <w:b/>
          <w:bCs/>
          <w:sz w:val="20"/>
          <w:szCs w:val="20"/>
        </w:rPr>
        <w:t>wyrobów medycznych wielorazowych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D33A43" w:rsidRPr="00FB7C5D" w:rsidRDefault="00D33A43" w:rsidP="00D33A43">
      <w:pPr>
        <w:spacing w:after="0" w:line="240" w:lineRule="auto"/>
        <w:jc w:val="both"/>
        <w:rPr>
          <w:rFonts w:cs="Arial"/>
          <w:b/>
          <w:bCs/>
          <w:sz w:val="20"/>
        </w:rPr>
      </w:pPr>
      <w:r w:rsidRPr="00FB7C5D">
        <w:rPr>
          <w:rFonts w:cs="Arial"/>
          <w:b/>
          <w:bCs/>
          <w:sz w:val="20"/>
        </w:rPr>
        <w:t>Dot. Pakiet 1, pozycja 16</w:t>
      </w:r>
    </w:p>
    <w:p w:rsidR="00D33A43" w:rsidRDefault="00D33A43" w:rsidP="00D33A43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Zwracamy się z prośbą do Zamawiającego</w:t>
      </w:r>
      <w:r w:rsidRPr="00FB7C5D">
        <w:rPr>
          <w:rFonts w:cs="Arial"/>
          <w:sz w:val="20"/>
        </w:rPr>
        <w:t xml:space="preserve"> o wykreślenie pozycji 16 z pakietu 1. </w:t>
      </w:r>
    </w:p>
    <w:p w:rsidR="00D33A43" w:rsidRDefault="00D33A43" w:rsidP="00D33A43">
      <w:pPr>
        <w:spacing w:after="0" w:line="240" w:lineRule="auto"/>
        <w:jc w:val="both"/>
        <w:rPr>
          <w:rFonts w:cs="Arial"/>
          <w:sz w:val="20"/>
        </w:rPr>
      </w:pPr>
      <w:r w:rsidRPr="00FB7C5D">
        <w:rPr>
          <w:rFonts w:cs="Arial"/>
          <w:sz w:val="20"/>
        </w:rPr>
        <w:t>Adaptery obecnie są niedostępne w sprzedaży, co uniemożliwia nam złożenie oferty cenowej na pozostałe pozycje w pakiecie</w:t>
      </w:r>
      <w:r>
        <w:rPr>
          <w:rFonts w:cs="Arial"/>
          <w:sz w:val="20"/>
        </w:rPr>
        <w:t>,</w:t>
      </w:r>
      <w:r w:rsidRPr="00FB7C5D">
        <w:rPr>
          <w:rFonts w:cs="Arial"/>
          <w:sz w:val="20"/>
        </w:rPr>
        <w:t xml:space="preserve"> zgodnie z SWZ.</w:t>
      </w:r>
    </w:p>
    <w:p w:rsidR="00433BD6" w:rsidRPr="00433BD6" w:rsidRDefault="00433BD6" w:rsidP="00D33A43">
      <w:pPr>
        <w:spacing w:after="0" w:line="240" w:lineRule="auto"/>
        <w:jc w:val="both"/>
        <w:rPr>
          <w:rFonts w:cs="Arial"/>
          <w:sz w:val="12"/>
          <w:szCs w:val="12"/>
        </w:rPr>
      </w:pPr>
    </w:p>
    <w:p w:rsidR="00BD5457" w:rsidRDefault="000602EF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 w:rsidR="00433BD6">
        <w:rPr>
          <w:rFonts w:asciiTheme="minorHAnsi" w:hAnsiTheme="minorHAnsi" w:cstheme="minorHAnsi"/>
          <w:b/>
          <w:sz w:val="20"/>
          <w:szCs w:val="20"/>
        </w:rPr>
        <w:t>awiający</w:t>
      </w:r>
      <w:r w:rsidR="00F23528">
        <w:rPr>
          <w:rFonts w:asciiTheme="minorHAnsi" w:hAnsiTheme="minorHAnsi" w:cstheme="minorHAnsi"/>
          <w:b/>
          <w:sz w:val="20"/>
          <w:szCs w:val="20"/>
        </w:rPr>
        <w:t xml:space="preserve"> modyfikuje Opis Przedmiot</w:t>
      </w:r>
      <w:r w:rsidR="00531B41">
        <w:rPr>
          <w:rFonts w:asciiTheme="minorHAnsi" w:hAnsiTheme="minorHAnsi" w:cstheme="minorHAnsi"/>
          <w:b/>
          <w:sz w:val="20"/>
          <w:szCs w:val="20"/>
        </w:rPr>
        <w:t>u</w:t>
      </w:r>
      <w:r w:rsidR="00F23528">
        <w:rPr>
          <w:rFonts w:asciiTheme="minorHAnsi" w:hAnsiTheme="minorHAnsi" w:cstheme="minorHAnsi"/>
          <w:b/>
          <w:sz w:val="20"/>
          <w:szCs w:val="20"/>
        </w:rPr>
        <w:t xml:space="preserve"> Zamówienia poprzez </w:t>
      </w:r>
      <w:r w:rsidR="00F23528" w:rsidRPr="00F23528">
        <w:rPr>
          <w:rFonts w:cs="Arial"/>
          <w:b/>
          <w:sz w:val="20"/>
        </w:rPr>
        <w:t>wykreślenie pozycji 16 z pakietu 1</w:t>
      </w:r>
      <w:r w:rsidRPr="00F23528">
        <w:rPr>
          <w:rFonts w:asciiTheme="minorHAnsi" w:hAnsiTheme="minorHAnsi" w:cstheme="minorHAnsi"/>
          <w:b/>
          <w:sz w:val="20"/>
          <w:szCs w:val="20"/>
        </w:rPr>
        <w:t>.</w:t>
      </w:r>
    </w:p>
    <w:p w:rsidR="000602EF" w:rsidRDefault="000602EF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33A43" w:rsidRPr="00AD7EF5" w:rsidRDefault="00D33A43" w:rsidP="00D33A43">
      <w:pPr>
        <w:spacing w:after="0" w:line="240" w:lineRule="auto"/>
        <w:jc w:val="both"/>
        <w:rPr>
          <w:rFonts w:cs="Arial"/>
          <w:b/>
          <w:bCs/>
          <w:sz w:val="20"/>
        </w:rPr>
      </w:pPr>
      <w:r w:rsidRPr="00AD7EF5">
        <w:rPr>
          <w:rFonts w:cs="Arial"/>
          <w:b/>
          <w:bCs/>
          <w:sz w:val="20"/>
        </w:rPr>
        <w:t xml:space="preserve">Załącznik nr </w:t>
      </w:r>
      <w:r>
        <w:rPr>
          <w:rFonts w:cs="Arial"/>
          <w:b/>
          <w:bCs/>
          <w:sz w:val="20"/>
        </w:rPr>
        <w:t>4</w:t>
      </w:r>
      <w:r w:rsidRPr="00AD7EF5">
        <w:rPr>
          <w:rFonts w:cs="Arial"/>
          <w:b/>
          <w:bCs/>
          <w:sz w:val="20"/>
        </w:rPr>
        <w:t xml:space="preserve"> – Wzór umowy</w:t>
      </w:r>
    </w:p>
    <w:p w:rsidR="00D33A43" w:rsidRPr="00AD7EF5" w:rsidRDefault="00D33A43" w:rsidP="00D33A43">
      <w:pPr>
        <w:spacing w:after="0" w:line="240" w:lineRule="auto"/>
        <w:jc w:val="both"/>
        <w:rPr>
          <w:rFonts w:cs="Arial"/>
          <w:b/>
          <w:bCs/>
          <w:sz w:val="20"/>
        </w:rPr>
      </w:pPr>
      <w:r w:rsidRPr="00AD7EF5">
        <w:rPr>
          <w:rFonts w:cs="Arial"/>
          <w:b/>
          <w:bCs/>
          <w:sz w:val="20"/>
        </w:rPr>
        <w:t>§</w:t>
      </w:r>
      <w:r>
        <w:rPr>
          <w:rFonts w:cs="Arial"/>
          <w:b/>
          <w:bCs/>
          <w:sz w:val="20"/>
        </w:rPr>
        <w:t xml:space="preserve">4 </w:t>
      </w:r>
      <w:r w:rsidRPr="00AD7EF5">
        <w:rPr>
          <w:rFonts w:cs="Arial"/>
          <w:b/>
          <w:bCs/>
          <w:sz w:val="20"/>
        </w:rPr>
        <w:t xml:space="preserve">ust. </w:t>
      </w:r>
      <w:r>
        <w:rPr>
          <w:rFonts w:cs="Arial"/>
          <w:b/>
          <w:bCs/>
          <w:sz w:val="20"/>
        </w:rPr>
        <w:t xml:space="preserve">1 i </w:t>
      </w:r>
      <w:r w:rsidRPr="00AD7EF5">
        <w:rPr>
          <w:rFonts w:cs="Arial"/>
          <w:b/>
          <w:bCs/>
          <w:sz w:val="20"/>
        </w:rPr>
        <w:t xml:space="preserve">2 </w:t>
      </w:r>
    </w:p>
    <w:p w:rsidR="00D33A43" w:rsidRPr="005A653E" w:rsidRDefault="00D33A43" w:rsidP="00D33A43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  <w:r>
        <w:rPr>
          <w:rFonts w:cs="Arial"/>
          <w:sz w:val="20"/>
        </w:rPr>
        <w:t>Czy Zamawiający wyrazi zgodę na zmniejszenie wysokości kar umownych do 0,2%?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7673CD" w:rsidRDefault="00812DD1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 w:rsidR="00D33A43">
        <w:rPr>
          <w:rFonts w:cs="Tahoma"/>
          <w:b/>
          <w:sz w:val="20"/>
          <w:szCs w:val="20"/>
        </w:rPr>
        <w:t xml:space="preserve">Zamawiający </w:t>
      </w:r>
      <w:r w:rsidR="00D33A43" w:rsidRPr="00D33A43">
        <w:rPr>
          <w:rFonts w:cs="Tahoma"/>
          <w:b/>
          <w:sz w:val="20"/>
          <w:szCs w:val="20"/>
        </w:rPr>
        <w:t>pozostawia zapisy umowy bez zmian.</w:t>
      </w:r>
    </w:p>
    <w:p w:rsidR="00D33A43" w:rsidRDefault="00D33A43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266D76">
        <w:rPr>
          <w:rFonts w:ascii="Arial" w:hAnsi="Arial" w:cs="Arial"/>
          <w:b/>
          <w:bCs/>
          <w:sz w:val="20"/>
          <w:szCs w:val="20"/>
        </w:rPr>
        <w:t>Pakiet nr 2 pozycja 25 :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Czy Zamawiający wyrazi zgodę na wydzielenie z pakietu nr 2 pozycji 25, co umożliwi złożenie oferty bezpośredniemu dostawcy ?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866956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607FF">
        <w:rPr>
          <w:rFonts w:cs="Tahoma"/>
          <w:b/>
          <w:sz w:val="20"/>
          <w:szCs w:val="20"/>
        </w:rPr>
        <w:t>Odpowiedź: Zamawiający pozostawia zapisy SWZ bez zmian.</w:t>
      </w:r>
    </w:p>
    <w:p w:rsidR="00B607FF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266D76">
        <w:rPr>
          <w:rFonts w:ascii="Arial" w:hAnsi="Arial" w:cs="Arial"/>
          <w:b/>
          <w:bCs/>
          <w:sz w:val="20"/>
          <w:szCs w:val="20"/>
        </w:rPr>
        <w:t>Pakiet nr 2 pozycja 25 :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Czy Zamawiający może doprecyzować czy wymaga pojemników tworzących system zamknięty, w których substancja utrwalająca- Formaldehyd 4% w roztworze wodnym (10% roztwór formaliny) i &lt;2.5% metanol, uwalniana jest po połączeniu pokrywy ze zbiornikiem i przez wciśnięcie przycisku wbudowanego w górną część pokrywy?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Oraz wymaga aby, górna część pokrywy składała się z następujących elementów :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• Tłok zakończony nakłuwaczem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• Folia aluminiowa zgrzana z nakrętką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• Filtr zabezpieczający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• Przycisk uwalniający substancję utrwalającą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lastRenderedPageBreak/>
        <w:t xml:space="preserve">• Substancja utrwalająca - Formaldehyd 4% w roztworze wodnym (10% roztwór formaliny) i &lt;2.5% metanol </w:t>
      </w:r>
    </w:p>
    <w:p w:rsidR="003C0EA5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• Pokrywa wyposażona w gwint zewnętrzny.</w:t>
      </w:r>
    </w:p>
    <w:p w:rsidR="005F108B" w:rsidRPr="00F913FB" w:rsidRDefault="005F108B" w:rsidP="00181CB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94992" w:rsidRPr="00B94992" w:rsidRDefault="000602EF" w:rsidP="000602E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94992">
        <w:rPr>
          <w:rFonts w:cs="Tahoma"/>
          <w:b/>
          <w:sz w:val="20"/>
          <w:szCs w:val="20"/>
        </w:rPr>
        <w:t xml:space="preserve">Odpowiedź: Zamawiający </w:t>
      </w:r>
      <w:r w:rsidR="00BD4D86" w:rsidRPr="00B94992">
        <w:rPr>
          <w:rFonts w:cs="Tahoma"/>
          <w:b/>
          <w:sz w:val="20"/>
          <w:szCs w:val="20"/>
        </w:rPr>
        <w:t>modyfikuje opis pozycji 25 w pakiecie 2 na następujący:</w:t>
      </w:r>
    </w:p>
    <w:p w:rsidR="000602EF" w:rsidRDefault="00B94992" w:rsidP="000602E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94992">
        <w:rPr>
          <w:rFonts w:cs="Tahoma"/>
          <w:b/>
          <w:sz w:val="20"/>
          <w:szCs w:val="20"/>
        </w:rPr>
        <w:t>Pojemnik na próbki biopsyjne/histopatologiczne , pojem</w:t>
      </w:r>
      <w:r w:rsidR="002B748E">
        <w:rPr>
          <w:rFonts w:cs="Tahoma"/>
          <w:b/>
          <w:sz w:val="20"/>
          <w:szCs w:val="20"/>
        </w:rPr>
        <w:t>n</w:t>
      </w:r>
      <w:r w:rsidRPr="00B94992">
        <w:rPr>
          <w:rFonts w:cs="Tahoma"/>
          <w:b/>
          <w:sz w:val="20"/>
          <w:szCs w:val="20"/>
        </w:rPr>
        <w:t>ik z hermetycznie zamkniętą formaliną w zak</w:t>
      </w:r>
      <w:r w:rsidR="002B748E">
        <w:rPr>
          <w:rFonts w:cs="Tahoma"/>
          <w:b/>
          <w:sz w:val="20"/>
          <w:szCs w:val="20"/>
        </w:rPr>
        <w:t>rętce zapobiegający bezpośrednie</w:t>
      </w:r>
      <w:r w:rsidRPr="00B94992">
        <w:rPr>
          <w:rFonts w:cs="Tahoma"/>
          <w:b/>
          <w:sz w:val="20"/>
          <w:szCs w:val="20"/>
        </w:rPr>
        <w:t xml:space="preserve">mu kontaktowi personelu z formaliną ,  20ml; pojemnik tworzący system zamknięty, w których substancja utrwalająca- Formaldehyd 4% w roztworze wodnym (10% roztwór formaliny) i &lt;2.5% metanol, uwalniana jest po połączeniu pokrywy ze zbiornikiem i przez wciśnięcie przycisku wbudowanego w </w:t>
      </w:r>
      <w:r w:rsidR="002B748E">
        <w:rPr>
          <w:rFonts w:cs="Tahoma"/>
          <w:b/>
          <w:sz w:val="20"/>
          <w:szCs w:val="20"/>
        </w:rPr>
        <w:t>górną część pokrywy, górna część</w:t>
      </w:r>
      <w:r w:rsidRPr="00B94992">
        <w:rPr>
          <w:rFonts w:cs="Tahoma"/>
          <w:b/>
          <w:sz w:val="20"/>
          <w:szCs w:val="20"/>
        </w:rPr>
        <w:t xml:space="preserve"> pokrywy składa się z tłoka zakończonego  nakłuwaczem, folii aluminiowej  zgrzanej z nakrętką, filtra zabezpieczającego</w:t>
      </w:r>
      <w:r w:rsidR="002B748E">
        <w:rPr>
          <w:rFonts w:cs="Tahoma"/>
          <w:b/>
          <w:sz w:val="20"/>
          <w:szCs w:val="20"/>
        </w:rPr>
        <w:t xml:space="preserve">, </w:t>
      </w:r>
      <w:r w:rsidRPr="00B94992">
        <w:rPr>
          <w:rFonts w:cs="Tahoma"/>
          <w:b/>
          <w:sz w:val="20"/>
          <w:szCs w:val="20"/>
        </w:rPr>
        <w:t>przycisku uwalniając</w:t>
      </w:r>
      <w:r w:rsidR="002B748E">
        <w:rPr>
          <w:rFonts w:cs="Tahoma"/>
          <w:b/>
          <w:sz w:val="20"/>
          <w:szCs w:val="20"/>
        </w:rPr>
        <w:t>e</w:t>
      </w:r>
      <w:r w:rsidRPr="00B94992">
        <w:rPr>
          <w:rFonts w:cs="Tahoma"/>
          <w:b/>
          <w:sz w:val="20"/>
          <w:szCs w:val="20"/>
        </w:rPr>
        <w:t>go substancję utrwalającą  oraz pokrywy wyposażonej w gwint zewnętrzny</w:t>
      </w:r>
      <w:r w:rsidR="000602EF" w:rsidRPr="00B94992">
        <w:rPr>
          <w:rFonts w:cs="Tahoma"/>
          <w:b/>
          <w:sz w:val="20"/>
          <w:szCs w:val="20"/>
        </w:rPr>
        <w:t>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rFonts w:ascii="Arial" w:hAnsi="Arial" w:cs="Arial"/>
          <w:sz w:val="20"/>
          <w:szCs w:val="20"/>
        </w:rPr>
        <w:t>Dot. umowy</w:t>
      </w:r>
    </w:p>
    <w:p w:rsidR="005F108B" w:rsidRPr="00266D76" w:rsidRDefault="005F108B" w:rsidP="005F108B">
      <w:pPr>
        <w:spacing w:after="120"/>
        <w:jc w:val="both"/>
        <w:rPr>
          <w:sz w:val="20"/>
          <w:szCs w:val="20"/>
        </w:rPr>
      </w:pPr>
      <w:r w:rsidRPr="00266D76">
        <w:rPr>
          <w:sz w:val="20"/>
          <w:szCs w:val="20"/>
        </w:rPr>
        <w:t xml:space="preserve">Zwracamy się z wnioskiem o zmianę treści SWZ poprzez zmodyfikowanie zapisu </w:t>
      </w:r>
      <w:r w:rsidRPr="00266D76">
        <w:rPr>
          <w:b/>
          <w:bCs/>
          <w:sz w:val="20"/>
          <w:szCs w:val="20"/>
          <w:u w:val="single"/>
        </w:rPr>
        <w:t xml:space="preserve">dot. § 4 ust. </w:t>
      </w:r>
      <w:r w:rsidRPr="00266D76">
        <w:rPr>
          <w:sz w:val="20"/>
          <w:szCs w:val="20"/>
        </w:rPr>
        <w:t>wzoru Umowy. Zamawiający w § 4 ust. 1.1 wskazał: 1.</w:t>
      </w:r>
      <w:r w:rsidRPr="00266D76">
        <w:rPr>
          <w:sz w:val="20"/>
          <w:szCs w:val="20"/>
        </w:rPr>
        <w:tab/>
        <w:t>Wykonawca jest zobowiązany do zapłaty kar umownych:</w:t>
      </w:r>
    </w:p>
    <w:p w:rsidR="005F108B" w:rsidRPr="00266D76" w:rsidRDefault="005F108B" w:rsidP="005F108B">
      <w:pPr>
        <w:spacing w:after="120"/>
        <w:jc w:val="both"/>
        <w:rPr>
          <w:sz w:val="20"/>
          <w:szCs w:val="20"/>
        </w:rPr>
      </w:pPr>
      <w:r w:rsidRPr="00266D76">
        <w:rPr>
          <w:sz w:val="20"/>
          <w:szCs w:val="20"/>
        </w:rPr>
        <w:t>1)</w:t>
      </w:r>
      <w:r w:rsidRPr="00266D76">
        <w:rPr>
          <w:sz w:val="20"/>
          <w:szCs w:val="20"/>
        </w:rPr>
        <w:tab/>
        <w:t>za zwłokę w realizacji dostawy w wysokości 2% wartości brutto danej dostawy, zgodnie z zał. nr 1 - za każdy dzień,</w:t>
      </w:r>
    </w:p>
    <w:p w:rsidR="005F108B" w:rsidRPr="00BD4D86" w:rsidRDefault="005F108B" w:rsidP="005F108B">
      <w:pPr>
        <w:spacing w:after="120"/>
        <w:jc w:val="both"/>
        <w:rPr>
          <w:sz w:val="20"/>
          <w:szCs w:val="20"/>
        </w:rPr>
      </w:pPr>
      <w:r w:rsidRPr="00266D76">
        <w:rPr>
          <w:sz w:val="20"/>
          <w:szCs w:val="20"/>
        </w:rPr>
        <w:t xml:space="preserve">W ocenie Wykonawcy zaproponowana wysokość kary umownej za nieterminową dostawę jest niewspółmierna do ewentualnego  uchybienia w sposobie realizacji świadczenia, do którego jest on zobowiązany w ramach Umowy, wysokość kary umownej na poziomie </w:t>
      </w:r>
      <w:r w:rsidRPr="00BD4D86">
        <w:rPr>
          <w:sz w:val="20"/>
          <w:szCs w:val="20"/>
        </w:rPr>
        <w:t xml:space="preserve">2% za każdy dzień uchybienia terminowi, nie ma żadnego związku z funkcją jaką mają pełnić kary umowne, a może jedynie prowadzić do wzbogacenia Zamawiającego, co tym samym w sposób jednoznaczny narusza zasadę równości stron umowy. </w:t>
      </w:r>
    </w:p>
    <w:p w:rsidR="005F108B" w:rsidRPr="00266D76" w:rsidRDefault="005F108B" w:rsidP="005F108B">
      <w:pPr>
        <w:spacing w:after="120"/>
        <w:jc w:val="both"/>
        <w:rPr>
          <w:rFonts w:cs="Calibri"/>
          <w:sz w:val="20"/>
          <w:szCs w:val="20"/>
        </w:rPr>
      </w:pPr>
      <w:r w:rsidRPr="00BD4D86">
        <w:rPr>
          <w:rFonts w:cs="Calibri"/>
          <w:sz w:val="20"/>
          <w:szCs w:val="20"/>
        </w:rPr>
        <w:t>Zdaniem Wykonawcy postanowienie Umowy o wskazanej treści daleko wykracza poza cel, dla którego zastrzegana jest kara umowna, która ma kompensować negatywne dla wierzyciela konsekwencje wynikające ze stanu niewykonania lub nienależytego wykonania zobowiązania i stanowić swego rodzaju zryczałtowane odszkodowanie. Odszkodowanie zaś powinno być adekwatne do szkody jaką może ponieść Zamawiający. Natomiast kara umowna w wysokości 2% za</w:t>
      </w:r>
      <w:r w:rsidRPr="00266D76">
        <w:rPr>
          <w:rFonts w:cs="Calibri"/>
          <w:sz w:val="20"/>
          <w:szCs w:val="20"/>
        </w:rPr>
        <w:t xml:space="preserve"> jeden dzień opóźnienia, w żaden sposób nie może odpowiadać ewentualnej szkodzie jaką może ponieść Zamawiający. </w:t>
      </w:r>
    </w:p>
    <w:p w:rsidR="005F108B" w:rsidRPr="00266D76" w:rsidRDefault="005F108B" w:rsidP="005F108B">
      <w:pPr>
        <w:spacing w:after="120"/>
        <w:jc w:val="both"/>
        <w:rPr>
          <w:rFonts w:cs="Calibri"/>
          <w:sz w:val="20"/>
          <w:szCs w:val="20"/>
        </w:rPr>
      </w:pPr>
      <w:r w:rsidRPr="00266D76">
        <w:rPr>
          <w:rFonts w:cs="Calibri"/>
          <w:bCs/>
          <w:sz w:val="20"/>
          <w:szCs w:val="20"/>
        </w:rPr>
        <w:t>W kwestii rażąco wygórowanych kar umownych KIO zajęło stanowisko w wyroku z dnia 30 listopada 2017 r., Sygn. akt: KIO 2219/17, KIO 2228/17, KIO 2232/17, KIO 2234/17, gdzie stwierdziła</w:t>
      </w:r>
      <w:r w:rsidRPr="00266D76">
        <w:rPr>
          <w:rFonts w:cs="Calibri"/>
          <w:b/>
          <w:bCs/>
          <w:i/>
          <w:sz w:val="20"/>
          <w:szCs w:val="20"/>
        </w:rPr>
        <w:t>, że „W sytuacji, gdy kara umowna równa się bądź zbliżona jest do wysokości wykonanego z opóźnieniem zobowiązania, w związku z którym ją zastrzeżono, można ją uważać za rażąco wygórowaną”</w:t>
      </w:r>
    </w:p>
    <w:p w:rsidR="005F108B" w:rsidRPr="00266D76" w:rsidRDefault="005F108B" w:rsidP="005F108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66D76">
        <w:rPr>
          <w:sz w:val="20"/>
          <w:szCs w:val="20"/>
        </w:rPr>
        <w:t xml:space="preserve">W konsekwencji powyższych rozważań </w:t>
      </w:r>
      <w:r w:rsidRPr="00266D76">
        <w:rPr>
          <w:b/>
          <w:bCs/>
          <w:sz w:val="20"/>
          <w:szCs w:val="20"/>
          <w:u w:val="single"/>
        </w:rPr>
        <w:t>Wykonawca wnosi o zmianę treści SWZ poprzez zmianę postanowienia zawartego w § 4  ust 1.1  wzoru Umowy</w:t>
      </w:r>
      <w:r w:rsidRPr="00266D76">
        <w:rPr>
          <w:sz w:val="20"/>
          <w:szCs w:val="20"/>
        </w:rPr>
        <w:t xml:space="preserve"> i obniżenie kary umownej do 1% wartości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0602EF" w:rsidRDefault="000602EF" w:rsidP="000602E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umowy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2534" w:rsidRPr="00752534" w:rsidRDefault="00A9328B" w:rsidP="0075253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6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8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oczekuje papierów oryginalnych, które gwarantują najwyższą jakość wydruku? </w:t>
      </w:r>
    </w:p>
    <w:p w:rsidR="00B14013" w:rsidRPr="004B5FAA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2"/>
          <w:szCs w:val="12"/>
          <w:lang w:eastAsia="pl-PL"/>
        </w:rPr>
      </w:pPr>
    </w:p>
    <w:p w:rsidR="00A9328B" w:rsidRPr="00E94C3A" w:rsidRDefault="00A9328B" w:rsidP="00A9328B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</w:t>
      </w:r>
      <w:r w:rsidRPr="001A030E">
        <w:rPr>
          <w:rFonts w:asciiTheme="minorHAnsi" w:hAnsiTheme="minorHAnsi" w:cstheme="minorHAnsi"/>
          <w:b/>
          <w:sz w:val="20"/>
          <w:szCs w:val="20"/>
        </w:rPr>
        <w:t>.</w:t>
      </w:r>
      <w:r w:rsidR="001A030E" w:rsidRPr="001A030E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 Zamawiający nie oczekuje papierów oryginalnych</w:t>
      </w:r>
    </w:p>
    <w:p w:rsidR="00263037" w:rsidRDefault="00263037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D39" w:rsidRPr="000E7D39" w:rsidRDefault="00A9328B" w:rsidP="000E7D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>PYTANIE nr 7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11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oczekuje papieru z nadrukiem czy bez? </w:t>
      </w:r>
    </w:p>
    <w:p w:rsidR="000E7D39" w:rsidRPr="000E7D39" w:rsidRDefault="000E7D39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9328B" w:rsidRPr="00E94C3A" w:rsidRDefault="00A9328B" w:rsidP="00A9328B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 xml:space="preserve">awiający </w:t>
      </w:r>
      <w:r w:rsidR="007B0C63" w:rsidRPr="007B0C63">
        <w:rPr>
          <w:rFonts w:cs="Tahoma"/>
          <w:b/>
          <w:sz w:val="20"/>
          <w:szCs w:val="20"/>
        </w:rPr>
        <w:t>oczekuje papieru z nadrukiem</w:t>
      </w:r>
      <w:r w:rsidRPr="00E94C3A">
        <w:rPr>
          <w:rFonts w:cs="Tahoma"/>
          <w:b/>
          <w:sz w:val="20"/>
          <w:szCs w:val="20"/>
        </w:rPr>
        <w:t>.</w:t>
      </w:r>
    </w:p>
    <w:p w:rsidR="007F5CF4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8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15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oczekuje aby chirurgiczny marker skórny był przeznaczony do kontaktu z naruszoną skórą (klasa </w:t>
      </w:r>
      <w:proofErr w:type="spellStart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>IIa</w:t>
      </w:r>
      <w:proofErr w:type="spellEnd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 reguła 4) – przeznaczony do wyznaczania linii/obszarów nacięć chirurgicznych w obrębie powierzchni skóry pacjenta? Brak klasyfikacji wyrobu w klasie </w:t>
      </w:r>
      <w:proofErr w:type="spellStart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>IIa</w:t>
      </w:r>
      <w:proofErr w:type="spellEnd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, uniemożliwia jakikolwiek jego kontakt z naruszoną skórą, co znaczenie ogranicza możliwości jego zastosowania w polu operacyjnym. Marker niższej klasy (klasa I sterylna), nie może mieć jakiegokolwiek kontaktu z raną operacyjną. </w:t>
      </w:r>
    </w:p>
    <w:p w:rsidR="00B14013" w:rsidRDefault="00B14013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9328B" w:rsidRPr="00E94C3A" w:rsidRDefault="00A9328B" w:rsidP="00A9328B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 xml:space="preserve">awiający </w:t>
      </w:r>
      <w:r w:rsidR="007B0C63">
        <w:rPr>
          <w:rFonts w:cs="Tahoma"/>
          <w:b/>
          <w:sz w:val="20"/>
          <w:szCs w:val="20"/>
        </w:rPr>
        <w:t xml:space="preserve">wymaga </w:t>
      </w:r>
      <w:r w:rsidR="007B0C63" w:rsidRPr="007B0C63">
        <w:rPr>
          <w:rFonts w:cs="Tahoma"/>
          <w:b/>
          <w:sz w:val="20"/>
          <w:szCs w:val="20"/>
        </w:rPr>
        <w:t>Marker niższej klasy (klasa I sterylna)</w:t>
      </w:r>
      <w:r w:rsidRPr="00E94C3A">
        <w:rPr>
          <w:rFonts w:cs="Tahoma"/>
          <w:b/>
          <w:sz w:val="20"/>
          <w:szCs w:val="20"/>
        </w:rPr>
        <w:t>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9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15 </w:t>
      </w:r>
    </w:p>
    <w:p w:rsidR="00B14013" w:rsidRPr="00266D76" w:rsidRDefault="00B14013" w:rsidP="00B1401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marker z granatową obudową oraz tuszem fioletowym?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A9328B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9328B">
        <w:rPr>
          <w:rFonts w:cs="Tahoma"/>
          <w:b/>
          <w:sz w:val="20"/>
          <w:szCs w:val="20"/>
        </w:rPr>
        <w:t xml:space="preserve">Odpowiedź: Zamawiający </w:t>
      </w:r>
      <w:r w:rsidR="007B0C63">
        <w:rPr>
          <w:rFonts w:cs="Tahoma"/>
          <w:b/>
          <w:sz w:val="20"/>
          <w:szCs w:val="20"/>
        </w:rPr>
        <w:t>dopuszcza</w:t>
      </w:r>
      <w:r w:rsidR="007B0C63" w:rsidRPr="007B0C63">
        <w:rPr>
          <w:rFonts w:cs="Tahoma"/>
          <w:b/>
          <w:sz w:val="20"/>
          <w:szCs w:val="20"/>
        </w:rPr>
        <w:t xml:space="preserve"> marker z granatową obudową oraz tuszem fioletowym</w:t>
      </w:r>
      <w:r w:rsidRPr="00A9328B">
        <w:rPr>
          <w:rFonts w:cs="Tahoma"/>
          <w:b/>
          <w:sz w:val="20"/>
          <w:szCs w:val="20"/>
        </w:rPr>
        <w:t>.</w:t>
      </w:r>
    </w:p>
    <w:p w:rsidR="004032D5" w:rsidRDefault="004032D5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27D8B" w:rsidRPr="004032D5" w:rsidRDefault="00A9328B" w:rsidP="004032D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10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2567E9" w:rsidRPr="00266D76" w:rsidRDefault="002567E9" w:rsidP="002567E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16 </w:t>
      </w:r>
    </w:p>
    <w:p w:rsidR="002567E9" w:rsidRPr="00266D76" w:rsidRDefault="002567E9" w:rsidP="002567E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</w:t>
      </w:r>
      <w:proofErr w:type="spellStart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>stazę</w:t>
      </w:r>
      <w:proofErr w:type="spellEnd"/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 automatyczną wielorazowego użytku z następującym sposobem czyszczenia i dezynfekcji: </w:t>
      </w:r>
    </w:p>
    <w:p w:rsidR="002567E9" w:rsidRPr="00266D76" w:rsidRDefault="002567E9" w:rsidP="002567E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Przed użyciem u kolejnego pacjenta wyrób należy umyć i zdezynfekować zgodnie z przyjętym procedurami wewnętrznymi jednostki. Zaleca się dezynfekcję poprzez zanurzenie w dostępnym preparacie myjąco-dezynfekcyjnym przez czas określony przez producenta środka dezynfekcyjnego? </w:t>
      </w:r>
    </w:p>
    <w:p w:rsidR="00627D8B" w:rsidRPr="00627D8B" w:rsidRDefault="00627D8B" w:rsidP="00627D8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67BBF" w:rsidRPr="00E94C3A" w:rsidRDefault="00067BBF" w:rsidP="00067BBF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365426" w:rsidRDefault="0036542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A9328B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11</w:t>
      </w:r>
      <w:r w:rsidR="000451A6">
        <w:rPr>
          <w:rFonts w:cs="Tahoma"/>
          <w:b/>
          <w:sz w:val="20"/>
          <w:szCs w:val="20"/>
        </w:rPr>
        <w:t xml:space="preserve">: </w:t>
      </w:r>
    </w:p>
    <w:p w:rsidR="002567E9" w:rsidRPr="00266D76" w:rsidRDefault="002567E9" w:rsidP="002567E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19 </w:t>
      </w:r>
    </w:p>
    <w:p w:rsidR="002567E9" w:rsidRPr="00266D76" w:rsidRDefault="002567E9" w:rsidP="002567E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wycenę za opakowanie a’300szt. wraz z odpowiednim przeliczeniem i zaokrągleniem w górę do pełnych opakowań?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67BBF" w:rsidRPr="00E94C3A" w:rsidRDefault="00067BBF" w:rsidP="00067BBF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Default="00A9328B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</w:t>
      </w:r>
      <w:r w:rsidR="0093235C">
        <w:rPr>
          <w:rFonts w:cs="Tahoma"/>
          <w:b/>
          <w:sz w:val="20"/>
          <w:szCs w:val="20"/>
        </w:rPr>
        <w:t xml:space="preserve">: </w:t>
      </w:r>
    </w:p>
    <w:p w:rsidR="00A9328B" w:rsidRPr="00266D76" w:rsidRDefault="00A9328B" w:rsidP="0093235C">
      <w:pPr>
        <w:spacing w:after="0" w:line="240" w:lineRule="auto"/>
        <w:jc w:val="both"/>
        <w:rPr>
          <w:rFonts w:ascii="Cambria" w:hAnsi="Cambria" w:cs="Cambria"/>
          <w:b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color w:val="000000"/>
          <w:sz w:val="20"/>
          <w:szCs w:val="20"/>
          <w:lang w:eastAsia="pl-PL"/>
        </w:rPr>
        <w:t>Pakiet 2, pozycja 22</w:t>
      </w:r>
    </w:p>
    <w:p w:rsidR="00A9328B" w:rsidRPr="00266D76" w:rsidRDefault="00A9328B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>Czy Zamawiający dopuści wycenę za opakowanie a’100 szt. z odpowiednim przeliczeniem wymaganych ilości?</w:t>
      </w:r>
    </w:p>
    <w:p w:rsidR="004032D5" w:rsidRPr="004032D5" w:rsidRDefault="004032D5" w:rsidP="00627D8B">
      <w:pPr>
        <w:pStyle w:val="Default"/>
        <w:rPr>
          <w:sz w:val="12"/>
          <w:szCs w:val="12"/>
        </w:rPr>
      </w:pPr>
    </w:p>
    <w:p w:rsidR="00067BBF" w:rsidRPr="00E94C3A" w:rsidRDefault="00067BBF" w:rsidP="008749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F08F4">
        <w:rPr>
          <w:rFonts w:cs="Tahoma"/>
          <w:b/>
          <w:sz w:val="20"/>
          <w:szCs w:val="20"/>
        </w:rPr>
        <w:t xml:space="preserve">Odpowiedź: Zamawiający </w:t>
      </w:r>
      <w:r w:rsidR="00B31053" w:rsidRPr="003F08F4">
        <w:rPr>
          <w:rFonts w:cs="Tahoma"/>
          <w:b/>
          <w:sz w:val="20"/>
          <w:szCs w:val="20"/>
        </w:rPr>
        <w:t>dopuszcza wycenę za opakowanie a’100 szt. z odpowiednim przeliczeniem wymaganych ilości</w:t>
      </w:r>
      <w:r w:rsidRPr="003F08F4">
        <w:rPr>
          <w:rFonts w:cs="Tahoma"/>
          <w:b/>
          <w:sz w:val="20"/>
          <w:szCs w:val="20"/>
        </w:rPr>
        <w:t>.</w:t>
      </w:r>
      <w:r w:rsidR="003F08F4" w:rsidRPr="003F08F4">
        <w:t xml:space="preserve"> </w:t>
      </w:r>
      <w:r w:rsidR="003F08F4" w:rsidRPr="003F08F4">
        <w:rPr>
          <w:rFonts w:cs="Tahoma"/>
          <w:b/>
          <w:sz w:val="20"/>
          <w:szCs w:val="20"/>
        </w:rPr>
        <w:t>Wykonawca winien odpowiednio przeliczyć ilość opakowań tak, aby ilość produktu była zgodna z  SWZ, przeliczając ilości opakowań do dwóch miejsc po przecinku.</w:t>
      </w:r>
    </w:p>
    <w:p w:rsidR="0093235C" w:rsidRDefault="0093235C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Pr="000A067B" w:rsidRDefault="0093235C" w:rsidP="0093235C">
      <w:pPr>
        <w:spacing w:after="0" w:line="240" w:lineRule="auto"/>
        <w:rPr>
          <w:rFonts w:cs="Tahoma"/>
          <w:b/>
          <w:sz w:val="20"/>
          <w:szCs w:val="20"/>
        </w:rPr>
      </w:pPr>
      <w:r w:rsidRPr="000A067B"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3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22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opaski niesterylne? </w:t>
      </w:r>
    </w:p>
    <w:p w:rsidR="00FE646E" w:rsidRPr="00FE646E" w:rsidRDefault="00FE646E" w:rsidP="00627D8B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AE5D0E" w:rsidRPr="00E94C3A" w:rsidRDefault="0093235C" w:rsidP="0093235C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 w:rsidR="00060099"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4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23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pojemniki o pojemności 250ml – średnica 69mm oraz wysokość 94mm?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5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25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pojemniki o pojemności 40ml?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6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26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wycenę za opakowanie a’50 szt. z odpowiednim przeliczeniem wymaganych ilości?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="00C73870">
        <w:rPr>
          <w:rFonts w:cs="Tahoma"/>
          <w:b/>
          <w:sz w:val="20"/>
          <w:szCs w:val="20"/>
        </w:rPr>
        <w:t xml:space="preserve"> bez zmian (będą zamawiane mniejsze ilości niż 50 </w:t>
      </w:r>
      <w:proofErr w:type="spellStart"/>
      <w:r w:rsidR="00C73870">
        <w:rPr>
          <w:rFonts w:cs="Tahoma"/>
          <w:b/>
          <w:sz w:val="20"/>
          <w:szCs w:val="20"/>
        </w:rPr>
        <w:t>szt</w:t>
      </w:r>
      <w:proofErr w:type="spellEnd"/>
      <w:r w:rsidR="00C73870">
        <w:rPr>
          <w:rFonts w:cs="Tahoma"/>
          <w:b/>
          <w:sz w:val="20"/>
          <w:szCs w:val="20"/>
        </w:rPr>
        <w:t>).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A9328B">
        <w:rPr>
          <w:rFonts w:cs="Tahoma"/>
          <w:b/>
          <w:sz w:val="20"/>
          <w:szCs w:val="20"/>
        </w:rPr>
        <w:t>7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27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Czy Zamawiający dopuści elektrody kończynowe w kolorze czerwonym, zielonym, żółtym oraz granatowym? 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2567E9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</w:p>
    <w:p w:rsidR="002567E9" w:rsidRPr="000A067B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A9328B">
        <w:rPr>
          <w:rFonts w:cs="Tahoma"/>
          <w:b/>
          <w:sz w:val="20"/>
          <w:szCs w:val="20"/>
        </w:rPr>
        <w:t>18</w:t>
      </w:r>
      <w:r w:rsidRPr="000A067B">
        <w:rPr>
          <w:rFonts w:cs="Tahoma"/>
          <w:b/>
          <w:sz w:val="20"/>
          <w:szCs w:val="20"/>
        </w:rPr>
        <w:t xml:space="preserve">: </w:t>
      </w:r>
    </w:p>
    <w:p w:rsidR="008E1871" w:rsidRPr="00266D76" w:rsidRDefault="008E1871" w:rsidP="008E187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66D76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 xml:space="preserve">Pakiet 2, pozycja 31 </w:t>
      </w:r>
    </w:p>
    <w:p w:rsidR="008E1871" w:rsidRPr="00266D76" w:rsidRDefault="008E1871" w:rsidP="008E187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ascii="Cambria" w:hAnsi="Cambria" w:cs="Cambria"/>
          <w:color w:val="000000"/>
          <w:sz w:val="20"/>
          <w:szCs w:val="20"/>
          <w:lang w:eastAsia="pl-PL"/>
        </w:rPr>
        <w:t>Czy Zamawiający dopuści fartuch wykonany z polietylenu o grubości 0,02 mm, przezroczysty, zakładany przez głowę, wiązany z tyłu na troki, o wymiarach: szerokość 71 cm, długość 180 cm w opakowaniu a’100 sztuk z odpowiednim przeliczeniem zamawianej ilości?</w:t>
      </w:r>
    </w:p>
    <w:p w:rsidR="002567E9" w:rsidRPr="00FE646E" w:rsidRDefault="002567E9" w:rsidP="002567E9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2567E9" w:rsidRPr="00E94C3A" w:rsidRDefault="002567E9" w:rsidP="002567E9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1A4F8F" w:rsidRDefault="006E6C17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</w:t>
      </w:r>
      <w:r w:rsidR="00266D76" w:rsidRPr="00266D76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Umowa § 4 ust. 1 pkt. 1 </w:t>
      </w:r>
    </w:p>
    <w:p w:rsid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zmniejszenie wysokości kary umownej za zwłokę w realizacji dostawy do wysokości 0,5 % wartości brutto danej dostawy, zgodnie z zał. Nr 1 – za każdy dzień zwłoki. Pragniemy zauważyć, iż w ocenie Wykonawcy kara w wysokości 2 % jest rażąco wygórowana. Zadaniem kar umownych winno być skuteczne zmotywowanie i skłonienie kontrahenta do prawidłowego wykonania umowy, a nie zniechęcanie do udziału w zamówieniach publicznych. Powszechną praktyką w zamówieniach publicznych jest stosowanie kar umownych na poziomie 0,1-0,5 % za każdy dzień zwłoki, w związku z czym prosimy o zmniejszenie wysokości kary oraz stosowną korektę dokumentacji przetargowej. </w:t>
      </w:r>
    </w:p>
    <w:p w:rsidR="00B7656B" w:rsidRPr="00D376D1" w:rsidRDefault="00B7656B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266D76" w:rsidRDefault="00266D76" w:rsidP="00266D7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</w:t>
      </w:r>
      <w:r w:rsidR="0068291D">
        <w:rPr>
          <w:rFonts w:cs="Tahoma"/>
          <w:b/>
          <w:sz w:val="20"/>
          <w:szCs w:val="20"/>
        </w:rPr>
        <w:t>amawiający pozostawia zapisy umowy</w:t>
      </w:r>
      <w:r w:rsidRPr="00266D76">
        <w:rPr>
          <w:rFonts w:cs="Tahoma"/>
          <w:b/>
          <w:sz w:val="20"/>
          <w:szCs w:val="20"/>
        </w:rPr>
        <w:t xml:space="preserve">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P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</w:t>
      </w:r>
      <w:r w:rsidRPr="006E6C17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Umowa § 4 ust. 1 pkt. 2 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lastRenderedPageBreak/>
        <w:t xml:space="preserve">1. 1. Prosimy Zamawiającego o zmniejszenie wysokości kary umownej za zwłokę w wymianie reklamowanego przedmiotu umowy na nowy do wysokości 0,5 % wartości brutto danego asortymentu, zgodnie z zał. Nr 1 – za każdy dzień zwłoki. </w:t>
      </w:r>
    </w:p>
    <w:p w:rsidR="006E6C17" w:rsidRPr="00B7656B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66D76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E6C17">
        <w:rPr>
          <w:rFonts w:cs="Tahoma"/>
          <w:b/>
          <w:sz w:val="20"/>
          <w:szCs w:val="20"/>
        </w:rPr>
        <w:t>Odpowiedź: Z</w:t>
      </w:r>
      <w:r w:rsidR="0068291D">
        <w:rPr>
          <w:rFonts w:cs="Tahoma"/>
          <w:b/>
          <w:sz w:val="20"/>
          <w:szCs w:val="20"/>
        </w:rPr>
        <w:t>amawiający pozostawia zapisy umowy</w:t>
      </w:r>
      <w:r w:rsidRPr="006E6C17">
        <w:rPr>
          <w:rFonts w:cs="Tahoma"/>
          <w:b/>
          <w:sz w:val="20"/>
          <w:szCs w:val="20"/>
        </w:rPr>
        <w:t xml:space="preserve">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</w:t>
      </w:r>
      <w:r w:rsidRPr="00266D76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Pakiet Nr 5 poz. 1 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dopuszczenie dozownika powietrza z zakresem wskazań i regulacji przepływu powietrza 0-15l/min, które jest rozwiązaniem powszechnie stosowanym i nieznacznie różniącym się od wymaganego. Pozostałe parametry bez zmian. 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</w:t>
      </w:r>
      <w:r w:rsidRPr="00266D76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Pakiet Nr 5 poz. 1 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dopuszczenie alternatywnego rozwiązania pod postacią dozownika powietrza z zakresem wskazań 1-15 l/min, zakresem regulacji przepływu 0-15 l/min oraz rurką rotametryczną z podziałką 0-15 l/min. 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23</w:t>
      </w:r>
      <w:r w:rsidRPr="00266D76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Pakiet Nr 5 poz. 1 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dopuszczenie dozownika powietrza zbudowanego z aluminium szczotkowanego, odpornego na uderzenia i pęknięcia. </w:t>
      </w:r>
    </w:p>
    <w:p w:rsidR="006E6C17" w:rsidRPr="00266D76" w:rsidRDefault="006E6C17" w:rsidP="00D376D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P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24</w:t>
      </w:r>
      <w:r w:rsidRPr="006E6C17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Pakiet Nr 5 poz. 1 </w:t>
      </w:r>
    </w:p>
    <w:p w:rsid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dopuszczenie dozownika powietrza zbudowanego z aluminium chromowanego, odpornego na uderzenia i pęknięcia. </w:t>
      </w:r>
    </w:p>
    <w:p w:rsidR="00D376D1" w:rsidRPr="00126EAB" w:rsidRDefault="00D376D1" w:rsidP="00D376D1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6E6C17" w:rsidRPr="00D376D1" w:rsidRDefault="006E6C17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E6C17">
        <w:rPr>
          <w:rFonts w:cs="Tahoma"/>
          <w:b/>
          <w:sz w:val="20"/>
          <w:szCs w:val="20"/>
        </w:rPr>
        <w:t>Odpowiedź: Zamawiający pozostawia zapisy SWZ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25</w:t>
      </w:r>
      <w:r w:rsidRPr="00266D76">
        <w:rPr>
          <w:rFonts w:cs="Tahoma"/>
          <w:b/>
          <w:sz w:val="20"/>
          <w:szCs w:val="20"/>
        </w:rPr>
        <w:t>:</w:t>
      </w:r>
    </w:p>
    <w:p w:rsidR="00D376D1" w:rsidRPr="00D376D1" w:rsidRDefault="00D376D1" w:rsidP="00D3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376D1">
        <w:rPr>
          <w:rFonts w:ascii="Times New Roman" w:hAnsi="Times New Roman"/>
          <w:b/>
          <w:bCs/>
          <w:color w:val="000000"/>
          <w:lang w:eastAsia="pl-PL"/>
        </w:rPr>
        <w:t xml:space="preserve">Pakiet Nr 5 poz. 2 </w:t>
      </w:r>
    </w:p>
    <w:p w:rsidR="00D376D1" w:rsidRPr="006E6C17" w:rsidRDefault="00D376D1" w:rsidP="00D376D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376D1">
        <w:rPr>
          <w:rFonts w:ascii="Times New Roman" w:hAnsi="Times New Roman"/>
          <w:color w:val="000000"/>
          <w:lang w:eastAsia="pl-PL"/>
        </w:rPr>
        <w:t xml:space="preserve">1. Prosimy Zamawiającego o dopuszczenie dozownika tlenu z zakresem wskazań i regulacji przepływu tlenu 0-15l/min, które jest rozwiązaniem powszechnie stosowanym i nieznacznie różniącym się od wymaganego. </w:t>
      </w:r>
      <w:r w:rsidRPr="005C2AA6">
        <w:rPr>
          <w:rFonts w:ascii="Times New Roman" w:hAnsi="Times New Roman"/>
          <w:color w:val="000000"/>
          <w:lang w:eastAsia="pl-PL"/>
        </w:rPr>
        <w:t>Pozostałe parametry bez zmian.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266D76" w:rsidRDefault="00266D7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26</w:t>
      </w:r>
      <w:r w:rsidRPr="00266D76">
        <w:rPr>
          <w:rFonts w:cs="Tahoma"/>
          <w:b/>
          <w:sz w:val="20"/>
          <w:szCs w:val="20"/>
        </w:rPr>
        <w:t>:</w:t>
      </w:r>
    </w:p>
    <w:p w:rsidR="0009494C" w:rsidRPr="0009494C" w:rsidRDefault="0009494C" w:rsidP="0009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2 </w:t>
      </w:r>
    </w:p>
    <w:p w:rsidR="0009494C" w:rsidRPr="0009494C" w:rsidRDefault="0009494C" w:rsidP="0009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alternatywnego rozwiązania pod postacią dozownika tlenu z zakresem wskazań 1-15 l/min, zakresem regulacji przepływu 0-15 l/min oraz rurką rotametryczną z podziałką 0-15 l/min. </w:t>
      </w:r>
    </w:p>
    <w:p w:rsidR="00236724" w:rsidRPr="003921A9" w:rsidRDefault="00236724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27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2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dozownika powietrza zbudowanego z aluminium szczotkowanego, odpornego na uderzenia i pęknięcia. </w:t>
      </w:r>
    </w:p>
    <w:p w:rsidR="006E6C17" w:rsidRPr="00266D76" w:rsidRDefault="006E6C17" w:rsidP="006E6C1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E6C17" w:rsidRDefault="006E6C17" w:rsidP="006E6C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6E6C17" w:rsidRDefault="006E6C17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28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2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dozownika powietrza zbudowanego z aluminium chromowanego, odpornego na uderzenia i pęknięcia. </w:t>
      </w:r>
    </w:p>
    <w:p w:rsidR="00236724" w:rsidRPr="004C181B" w:rsidRDefault="00236724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29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3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butli zabezpieczającej o pojemności 300 ml z możliwością podłączenia butli o pojemności 500 ml, 1000 ml. Przyłącze M16x1,5.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30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3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butli zabezpieczającej o pojemności 150 ml z możliwością podłączenia butli o pojemności 500 ml, 1000 ml. Przyłącze zatrzaskowe.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31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5 poz. 3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zaworu czerpalnego z tworzywa syntetycznego, odpornego na uderzenia i pęknięcia.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32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1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wydzielenie pozycji do osobnego pakietu, celem umożliwienia złożenia konkurencyjnej oferty przez większe grono Wykonawców, wydzielenie pozycji jednocześnie zabezpieczy Szpital w odpowiednie, kompatybilne części do dozowników posiadanych przez Szpital. </w:t>
      </w:r>
    </w:p>
    <w:p w:rsidR="005C2AA6" w:rsidRPr="00217F88" w:rsidRDefault="005C2AA6" w:rsidP="005C2A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33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2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wydzielenie pozycji do osobnego pakietu, celem umożliwienia złożenia konkurencyjnej oferty przez większe grono Wykonawców, wydzielenie pozycji jednocześnie zabezpieczy Szpital w odpowiednie, kompatybilne części do dozowników posiadanych przez Szpital. </w:t>
      </w:r>
    </w:p>
    <w:p w:rsidR="005C2AA6" w:rsidRPr="00217F88" w:rsidRDefault="005C2AA6" w:rsidP="005C2A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34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3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wydzielenie pozycji do osobnego pakietu, celem umożliwienia złożenia konkurencyjnej oferty przez większe grono Wykonawców, wydzielenie pozycji jednocześnie zabezpieczy Szpital w odpowiednie, kompatybilne części do zaworów czerpalnych posiadanych przez Szpital. </w:t>
      </w:r>
    </w:p>
    <w:p w:rsidR="005C2AA6" w:rsidRPr="00217F88" w:rsidRDefault="005C2AA6" w:rsidP="005C2AA6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6E6C17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35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1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nawilżacza o pojemności 0,25 l z przyłączem 9/16".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36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2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pojemników na wodę 0,3 l do nawilżaczy innych niż </w:t>
      </w:r>
      <w:proofErr w:type="spellStart"/>
      <w:r w:rsidRPr="0009494C">
        <w:rPr>
          <w:rFonts w:ascii="Times New Roman" w:hAnsi="Times New Roman"/>
          <w:color w:val="000000"/>
          <w:lang w:eastAsia="pl-PL"/>
        </w:rPr>
        <w:t>Awamed</w:t>
      </w:r>
      <w:proofErr w:type="spellEnd"/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37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b/>
          <w:bCs/>
          <w:color w:val="000000"/>
          <w:lang w:eastAsia="pl-PL"/>
        </w:rPr>
        <w:t xml:space="preserve">Pakiet Nr 6 poz. 3 </w:t>
      </w:r>
    </w:p>
    <w:p w:rsidR="00236724" w:rsidRPr="0009494C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pojemników na wodę 0,3 l z przyłączem M16x1,5 do zaworów czerpalnych próżni innych niż </w:t>
      </w:r>
      <w:proofErr w:type="spellStart"/>
      <w:r w:rsidRPr="0009494C">
        <w:rPr>
          <w:rFonts w:ascii="Times New Roman" w:hAnsi="Times New Roman"/>
          <w:color w:val="000000"/>
          <w:lang w:eastAsia="pl-PL"/>
        </w:rPr>
        <w:t>Awamed</w:t>
      </w:r>
      <w:proofErr w:type="spellEnd"/>
      <w:r w:rsidRPr="0009494C">
        <w:rPr>
          <w:rFonts w:ascii="Times New Roman" w:hAnsi="Times New Roman"/>
          <w:color w:val="000000"/>
          <w:lang w:eastAsia="pl-PL"/>
        </w:rPr>
        <w:t xml:space="preserve">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38</w:t>
      </w:r>
      <w:r w:rsidRPr="00266D76">
        <w:rPr>
          <w:rFonts w:cs="Tahoma"/>
          <w:b/>
          <w:sz w:val="20"/>
          <w:szCs w:val="20"/>
        </w:rPr>
        <w:t>:</w:t>
      </w:r>
    </w:p>
    <w:p w:rsidR="00236724" w:rsidRPr="005C2AA6" w:rsidRDefault="00236724" w:rsidP="0023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5C2AA6">
        <w:rPr>
          <w:rFonts w:ascii="Times New Roman" w:hAnsi="Times New Roman"/>
          <w:b/>
          <w:bCs/>
          <w:color w:val="000000"/>
          <w:lang w:eastAsia="pl-PL"/>
        </w:rPr>
        <w:t xml:space="preserve">Pakiet Nr 6 poz. 3 </w:t>
      </w:r>
    </w:p>
    <w:p w:rsidR="00236724" w:rsidRPr="00266D76" w:rsidRDefault="00236724" w:rsidP="00236724">
      <w:pPr>
        <w:spacing w:after="0" w:line="240" w:lineRule="auto"/>
        <w:jc w:val="both"/>
        <w:rPr>
          <w:rFonts w:cs="Tahoma"/>
          <w:b/>
          <w:sz w:val="12"/>
          <w:szCs w:val="12"/>
        </w:rPr>
      </w:pPr>
      <w:r w:rsidRPr="0009494C">
        <w:rPr>
          <w:rFonts w:ascii="Times New Roman" w:hAnsi="Times New Roman"/>
          <w:color w:val="000000"/>
          <w:lang w:eastAsia="pl-PL"/>
        </w:rPr>
        <w:t xml:space="preserve">1. Prosimy Zamawiającego o dopuszczenie pojemników na wodę 0,3 l z przyłączem zatrzaskowym do zaworów czerpalnych próżni innych niż </w:t>
      </w:r>
      <w:proofErr w:type="spellStart"/>
      <w:r w:rsidRPr="0009494C">
        <w:rPr>
          <w:rFonts w:ascii="Times New Roman" w:hAnsi="Times New Roman"/>
          <w:color w:val="000000"/>
          <w:lang w:eastAsia="pl-PL"/>
        </w:rPr>
        <w:t>Awamed</w:t>
      </w:r>
      <w:proofErr w:type="spellEnd"/>
      <w:r w:rsidRPr="0009494C">
        <w:rPr>
          <w:rFonts w:ascii="Times New Roman" w:hAnsi="Times New Roman"/>
          <w:color w:val="000000"/>
          <w:lang w:eastAsia="pl-PL"/>
        </w:rPr>
        <w:t>.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39</w:t>
      </w:r>
      <w:r w:rsidRPr="00266D76">
        <w:rPr>
          <w:rFonts w:cs="Tahoma"/>
          <w:b/>
          <w:sz w:val="20"/>
          <w:szCs w:val="20"/>
        </w:rPr>
        <w:t>:</w:t>
      </w:r>
    </w:p>
    <w:p w:rsidR="008C752A" w:rsidRPr="007D6936" w:rsidRDefault="00B7574C" w:rsidP="008C752A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PAKIET 1</w:t>
      </w:r>
    </w:p>
    <w:p w:rsidR="008C752A" w:rsidRPr="007D6936" w:rsidRDefault="008C752A" w:rsidP="008C752A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Prosimy o wydzielenie poz.7,8,</w:t>
      </w:r>
      <w:r w:rsidR="00B7574C" w:rsidRPr="007D6936">
        <w:rPr>
          <w:rFonts w:cs="Tahoma"/>
        </w:rPr>
        <w:t>9,33, do oddzielnego zadania co</w:t>
      </w:r>
    </w:p>
    <w:p w:rsidR="008C752A" w:rsidRPr="007D6936" w:rsidRDefault="008C752A" w:rsidP="008C752A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z uwagi na różnorodność produktów w Pakiecie nr 1 prosimy o wydzielenie poz. 7,8,9,33, do osobnej części. Podział zadania zwiększy konkurencyjność postępowania, umożliwi złożenie ofert większej liczbie wykonawców a Państwu pozyskanie rzeczywiś</w:t>
      </w:r>
      <w:r w:rsidR="00B7574C" w:rsidRPr="007D6936">
        <w:rPr>
          <w:rFonts w:cs="Tahoma"/>
        </w:rPr>
        <w:t>cie korzystnych ofert.</w:t>
      </w:r>
    </w:p>
    <w:p w:rsidR="008C752A" w:rsidRPr="007D6936" w:rsidRDefault="008C752A" w:rsidP="008C752A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Dodatkowo chcielibyśmy nadmienić, iż: zamawiający ma możliwość wydzielenia pozycji do osobnego Pakietu, gdyż nie jest to postępowanie powyżej progu unijnego oraz nie spełnia przestanek do zastosowania art 25 ust p 2 Ustawy z dnia 11 września 2019 r. Prawo Zam6wien Publicznych ( Dz. </w:t>
      </w:r>
      <w:proofErr w:type="spellStart"/>
      <w:r w:rsidRPr="007D6936">
        <w:rPr>
          <w:rFonts w:cs="Tahoma"/>
        </w:rPr>
        <w:t>U.z</w:t>
      </w:r>
      <w:proofErr w:type="spellEnd"/>
      <w:r w:rsidRPr="007D6936">
        <w:rPr>
          <w:rFonts w:cs="Tahoma"/>
        </w:rPr>
        <w:t xml:space="preserve"> 2019 r. </w:t>
      </w:r>
      <w:proofErr w:type="spellStart"/>
      <w:r w:rsidRPr="007D6936">
        <w:rPr>
          <w:rFonts w:cs="Tahoma"/>
        </w:rPr>
        <w:t>poz</w:t>
      </w:r>
      <w:proofErr w:type="spellEnd"/>
      <w:r w:rsidRPr="007D6936">
        <w:rPr>
          <w:rFonts w:cs="Tahoma"/>
        </w:rPr>
        <w:t xml:space="preserve"> 2019).</w:t>
      </w:r>
    </w:p>
    <w:p w:rsidR="00B7574C" w:rsidRPr="00B7574C" w:rsidRDefault="00B7574C" w:rsidP="005C2AA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B5FAA" w:rsidRDefault="004B5FAA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40</w:t>
      </w:r>
      <w:r w:rsidRPr="00266D76">
        <w:rPr>
          <w:rFonts w:cs="Tahoma"/>
          <w:b/>
          <w:sz w:val="20"/>
          <w:szCs w:val="20"/>
        </w:rPr>
        <w:t>: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PAKIET 1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Prosimy o dopuszczenie rozmiarów: 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 7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25-35 cm / 35 cm 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Poz.8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18-26 cm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Poz.9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34-47 cm / 47 cm 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Poz.33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25-35 cm</w:t>
      </w:r>
    </w:p>
    <w:p w:rsidR="005C2AA6" w:rsidRPr="00217F88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41</w:t>
      </w:r>
      <w:r w:rsidRPr="00266D76">
        <w:rPr>
          <w:rFonts w:cs="Tahoma"/>
          <w:b/>
          <w:sz w:val="20"/>
          <w:szCs w:val="20"/>
        </w:rPr>
        <w:t>: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PAKIET 3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Poz.1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Prosimy o dopuszczenie na zasadzie równoważności, ostrzy uniwersalnych do każdej części ciała, pod warunkiem użyczenia na czas trwania umowy </w:t>
      </w:r>
      <w:proofErr w:type="spellStart"/>
      <w:r w:rsidRPr="007D6936">
        <w:rPr>
          <w:rFonts w:cs="Tahoma"/>
        </w:rPr>
        <w:t>strzygarki</w:t>
      </w:r>
      <w:proofErr w:type="spellEnd"/>
      <w:r w:rsidRPr="007D6936">
        <w:rPr>
          <w:rFonts w:cs="Tahoma"/>
        </w:rPr>
        <w:t xml:space="preserve"> z ruchomą głowicą, kompatybilnej w w/w ostrzami.</w:t>
      </w:r>
    </w:p>
    <w:p w:rsidR="00B7574C" w:rsidRPr="007D6936" w:rsidRDefault="00B7574C" w:rsidP="00B7574C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 xml:space="preserve">W przypadku dopuszczenia proponowanych ostrzy, prosimy o podanie potrzebnej ilości </w:t>
      </w:r>
      <w:proofErr w:type="spellStart"/>
      <w:r w:rsidRPr="007D6936">
        <w:rPr>
          <w:rFonts w:cs="Tahoma"/>
        </w:rPr>
        <w:t>strzygarek</w:t>
      </w:r>
      <w:proofErr w:type="spellEnd"/>
      <w:r w:rsidRPr="007D6936">
        <w:rPr>
          <w:rFonts w:cs="Tahoma"/>
        </w:rPr>
        <w:t xml:space="preserve">. </w:t>
      </w:r>
    </w:p>
    <w:p w:rsidR="005C2AA6" w:rsidRPr="00266D76" w:rsidRDefault="005C2AA6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 pozostawia zapisy SWZ bez zmian.</w:t>
      </w: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42</w:t>
      </w:r>
      <w:r w:rsidRPr="00266D76">
        <w:rPr>
          <w:rFonts w:cs="Tahoma"/>
          <w:b/>
          <w:sz w:val="20"/>
          <w:szCs w:val="20"/>
        </w:rPr>
        <w:t>:</w:t>
      </w:r>
    </w:p>
    <w:p w:rsidR="00A26688" w:rsidRPr="007D6936" w:rsidRDefault="00A26688" w:rsidP="00A26688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PAKIET 3</w:t>
      </w:r>
    </w:p>
    <w:p w:rsidR="00A26688" w:rsidRPr="007D6936" w:rsidRDefault="00A26688" w:rsidP="00A26688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Poz.2</w:t>
      </w:r>
    </w:p>
    <w:p w:rsidR="00A26688" w:rsidRPr="007D6936" w:rsidRDefault="00A26688" w:rsidP="00A26688">
      <w:pPr>
        <w:spacing w:after="0" w:line="240" w:lineRule="auto"/>
        <w:jc w:val="both"/>
        <w:rPr>
          <w:rFonts w:cs="Tahoma"/>
        </w:rPr>
      </w:pPr>
      <w:r w:rsidRPr="007D6936">
        <w:rPr>
          <w:rFonts w:cs="Tahoma"/>
        </w:rPr>
        <w:t>Prosimy o podanie typu urządzenia, z którym mają współpracować kołderki grzewcze.</w:t>
      </w:r>
    </w:p>
    <w:p w:rsidR="005C2AA6" w:rsidRPr="007D6936" w:rsidRDefault="00A26688" w:rsidP="00A26688">
      <w:pPr>
        <w:spacing w:after="0" w:line="240" w:lineRule="auto"/>
        <w:jc w:val="both"/>
        <w:rPr>
          <w:rFonts w:cs="Tahoma"/>
          <w:b/>
        </w:rPr>
      </w:pPr>
      <w:r w:rsidRPr="007D6936">
        <w:rPr>
          <w:rFonts w:cs="Tahoma"/>
        </w:rPr>
        <w:t>Prosimy o dopuszczenie rozmiaru 195x100cm</w:t>
      </w:r>
    </w:p>
    <w:p w:rsidR="00A26688" w:rsidRPr="00A26688" w:rsidRDefault="00A26688" w:rsidP="005C2A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C2AA6" w:rsidRDefault="005C2AA6" w:rsidP="005C2A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66D76">
        <w:rPr>
          <w:rFonts w:cs="Tahoma"/>
          <w:b/>
          <w:sz w:val="20"/>
          <w:szCs w:val="20"/>
        </w:rPr>
        <w:t>Odpowiedź: Zamawiający</w:t>
      </w:r>
      <w:r w:rsidR="00166802">
        <w:rPr>
          <w:rFonts w:cs="Tahoma"/>
          <w:b/>
          <w:sz w:val="20"/>
          <w:szCs w:val="20"/>
        </w:rPr>
        <w:t xml:space="preserve"> podaje typ urządzenia </w:t>
      </w:r>
      <w:r w:rsidR="00166802" w:rsidRPr="00166802">
        <w:rPr>
          <w:rFonts w:cs="Tahoma"/>
          <w:b/>
          <w:sz w:val="20"/>
          <w:szCs w:val="20"/>
        </w:rPr>
        <w:t>z którym mają współpracować kołderki grzewcze</w:t>
      </w:r>
      <w:r w:rsidR="00166802">
        <w:rPr>
          <w:rFonts w:cs="Tahoma"/>
          <w:b/>
          <w:sz w:val="20"/>
          <w:szCs w:val="20"/>
        </w:rPr>
        <w:t>: BAIR HUGGER 3M MODEL 775</w:t>
      </w:r>
      <w:r w:rsidR="00166802" w:rsidRPr="00166802">
        <w:rPr>
          <w:rFonts w:cs="Tahoma"/>
          <w:b/>
          <w:sz w:val="20"/>
          <w:szCs w:val="20"/>
        </w:rPr>
        <w:t>, pozostałe</w:t>
      </w:r>
      <w:r w:rsidRPr="00166802">
        <w:rPr>
          <w:rFonts w:cs="Tahoma"/>
          <w:b/>
          <w:sz w:val="20"/>
          <w:szCs w:val="20"/>
        </w:rPr>
        <w:t xml:space="preserve"> zapisy SWZ</w:t>
      </w:r>
      <w:r w:rsidR="00166802" w:rsidRPr="00166802">
        <w:rPr>
          <w:rFonts w:cs="Tahoma"/>
          <w:b/>
          <w:sz w:val="20"/>
          <w:szCs w:val="20"/>
        </w:rPr>
        <w:t xml:space="preserve"> </w:t>
      </w:r>
      <w:r w:rsidR="00166802" w:rsidRPr="00266D76">
        <w:rPr>
          <w:rFonts w:cs="Tahoma"/>
          <w:b/>
          <w:sz w:val="20"/>
          <w:szCs w:val="20"/>
        </w:rPr>
        <w:t>pozostawia</w:t>
      </w:r>
      <w:r w:rsidRPr="00266D76">
        <w:rPr>
          <w:rFonts w:cs="Tahoma"/>
          <w:b/>
          <w:sz w:val="20"/>
          <w:szCs w:val="20"/>
        </w:rPr>
        <w:t xml:space="preserve"> bez zmian.</w:t>
      </w:r>
    </w:p>
    <w:p w:rsidR="005C2AA6" w:rsidRDefault="005C2AA6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 w:rsidR="00F91529" w:rsidRPr="007C1C9E">
        <w:rPr>
          <w:rFonts w:ascii="Times New Roman" w:hAnsi="Times New Roman"/>
          <w:b/>
        </w:rPr>
        <w:t>modyfikuje Opis Przedmiot</w:t>
      </w:r>
      <w:r w:rsidR="007C1C9E">
        <w:rPr>
          <w:rFonts w:ascii="Times New Roman" w:hAnsi="Times New Roman"/>
          <w:b/>
        </w:rPr>
        <w:t>u</w:t>
      </w:r>
      <w:r w:rsidR="00F91529" w:rsidRPr="007C1C9E">
        <w:rPr>
          <w:rFonts w:ascii="Times New Roman" w:hAnsi="Times New Roman"/>
          <w:b/>
        </w:rPr>
        <w:t xml:space="preserve"> Zamówienia</w:t>
      </w:r>
      <w:r w:rsidR="007C1C9E">
        <w:rPr>
          <w:rFonts w:ascii="Times New Roman" w:hAnsi="Times New Roman"/>
          <w:b/>
        </w:rPr>
        <w:t xml:space="preserve"> </w:t>
      </w:r>
      <w:r w:rsidR="007C1C9E" w:rsidRPr="007C1C9E">
        <w:rPr>
          <w:rFonts w:ascii="Times New Roman" w:hAnsi="Times New Roman"/>
        </w:rPr>
        <w:t>(załącznik nr 2 do SWZ)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E63D4">
        <w:rPr>
          <w:rFonts w:ascii="Times New Roman" w:eastAsia="Times New Roman" w:hAnsi="Times New Roman"/>
          <w:b/>
        </w:rPr>
        <w:t>03.08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9172C">
        <w:rPr>
          <w:rFonts w:ascii="Times New Roman" w:eastAsia="Times New Roman" w:hAnsi="Times New Roman"/>
          <w:b/>
          <w:lang w:eastAsia="pl-PL"/>
        </w:rPr>
        <w:t>0</w:t>
      </w:r>
      <w:r w:rsidR="001D28A6">
        <w:rPr>
          <w:rFonts w:ascii="Times New Roman" w:eastAsia="Times New Roman" w:hAnsi="Times New Roman"/>
          <w:b/>
          <w:lang w:eastAsia="pl-PL"/>
        </w:rPr>
        <w:t>1</w:t>
      </w:r>
      <w:r w:rsidR="0029172C">
        <w:rPr>
          <w:rFonts w:ascii="Times New Roman" w:eastAsia="Times New Roman" w:hAnsi="Times New Roman"/>
          <w:b/>
          <w:lang w:eastAsia="pl-PL"/>
        </w:rPr>
        <w:t>.0</w:t>
      </w:r>
      <w:r w:rsidR="001D28A6">
        <w:rPr>
          <w:rFonts w:ascii="Times New Roman" w:eastAsia="Times New Roman" w:hAnsi="Times New Roman"/>
          <w:b/>
          <w:lang w:eastAsia="pl-PL"/>
        </w:rPr>
        <w:t>9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DF" w:rsidRDefault="003A1ADF" w:rsidP="00F92ECB">
      <w:pPr>
        <w:spacing w:after="0" w:line="240" w:lineRule="auto"/>
      </w:pPr>
      <w:r>
        <w:separator/>
      </w:r>
    </w:p>
  </w:endnote>
  <w:end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B5FAA">
      <w:rPr>
        <w:noProof/>
      </w:rPr>
      <w:t>8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DF" w:rsidRDefault="003A1ADF" w:rsidP="00F92ECB">
      <w:pPr>
        <w:spacing w:after="0" w:line="240" w:lineRule="auto"/>
      </w:pPr>
      <w:r>
        <w:separator/>
      </w:r>
    </w:p>
  </w:footnote>
  <w:foot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600361"/>
    <w:rsid w:val="00601ECF"/>
    <w:rsid w:val="006034F4"/>
    <w:rsid w:val="00603989"/>
    <w:rsid w:val="00603B5B"/>
    <w:rsid w:val="00605620"/>
    <w:rsid w:val="0061008E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E55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163D"/>
    <w:rsid w:val="00952BE6"/>
    <w:rsid w:val="00953779"/>
    <w:rsid w:val="0095630A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4694-FCB3-4750-B4AC-8A920167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759</TotalTime>
  <Pages>8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681</cp:revision>
  <cp:lastPrinted>2018-10-12T10:15:00Z</cp:lastPrinted>
  <dcterms:created xsi:type="dcterms:W3CDTF">2021-05-27T07:09:00Z</dcterms:created>
  <dcterms:modified xsi:type="dcterms:W3CDTF">2022-07-27T11:26:00Z</dcterms:modified>
</cp:coreProperties>
</file>