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1703CF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1703CF">
        <w:rPr>
          <w:rFonts w:ascii="Arial" w:hAnsi="Arial" w:cs="Arial"/>
        </w:rPr>
        <w:t>Administratorem Pani/Pana danych osobowych jest Wie</w:t>
      </w:r>
      <w:r w:rsidRPr="001703CF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1703CF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16130A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9074551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6130A"/>
    <w:rsid w:val="001703CF"/>
    <w:rsid w:val="001B6D0F"/>
    <w:rsid w:val="001B739D"/>
    <w:rsid w:val="006F512C"/>
    <w:rsid w:val="008A7710"/>
    <w:rsid w:val="00B737BA"/>
    <w:rsid w:val="00CE2F33"/>
    <w:rsid w:val="00E204E4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2022-11-04T12:43:00Z</dcterms:created>
  <dcterms:modified xsi:type="dcterms:W3CDTF">2022-11-04T12:43:00Z</dcterms:modified>
</cp:coreProperties>
</file>