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8796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8796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8796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8796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08796D" w:rsidRDefault="0045649B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sz w:val="20"/>
          <w:szCs w:val="20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08796D">
        <w:rPr>
          <w:rFonts w:ascii="Verdana" w:hAnsi="Verdana"/>
          <w:b/>
          <w:sz w:val="20"/>
          <w:szCs w:val="20"/>
        </w:rPr>
        <w:t>hemofiltracji</w:t>
      </w:r>
      <w:proofErr w:type="spellEnd"/>
      <w:r w:rsidRPr="0008796D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  <w:r w:rsidR="002D0BAF" w:rsidRPr="0008796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08796D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8796D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08796D">
        <w:rPr>
          <w:rFonts w:ascii="Verdana" w:hAnsi="Verdana"/>
          <w:bCs/>
          <w:color w:val="auto"/>
          <w:sz w:val="20"/>
          <w:szCs w:val="20"/>
        </w:rPr>
        <w:t>61 66 54</w:t>
      </w:r>
      <w:r w:rsidRPr="0008796D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8796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8796D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8796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08796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08796D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8796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art. 132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08796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8796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8796D">
        <w:rPr>
          <w:rFonts w:ascii="Verdana" w:hAnsi="Verdana"/>
          <w:color w:val="auto"/>
          <w:sz w:val="20"/>
          <w:szCs w:val="20"/>
        </w:rPr>
        <w:t>”</w:t>
      </w:r>
    </w:p>
    <w:p w:rsidR="00954F2D" w:rsidRPr="0008796D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08796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08796D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08796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08796D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5649B" w:rsidRPr="0008796D" w:rsidRDefault="0097021C" w:rsidP="0008796D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08796D">
        <w:rPr>
          <w:rFonts w:ascii="Verdana" w:hAnsi="Verdana"/>
          <w:b/>
          <w:color w:val="auto"/>
          <w:sz w:val="20"/>
          <w:szCs w:val="20"/>
        </w:rPr>
        <w:t>d</w:t>
      </w:r>
      <w:r w:rsidR="0045649B" w:rsidRPr="0008796D">
        <w:rPr>
          <w:rFonts w:ascii="Verdana" w:hAnsi="Verdana"/>
          <w:b/>
          <w:sz w:val="20"/>
          <w:szCs w:val="20"/>
        </w:rPr>
        <w:t xml:space="preserve">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="0045649B" w:rsidRPr="0008796D">
        <w:rPr>
          <w:rFonts w:ascii="Verdana" w:hAnsi="Verdana"/>
          <w:b/>
          <w:sz w:val="20"/>
          <w:szCs w:val="20"/>
        </w:rPr>
        <w:t>hemofiltracji</w:t>
      </w:r>
      <w:proofErr w:type="spellEnd"/>
      <w:r w:rsidR="0045649B" w:rsidRPr="0008796D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</w:p>
    <w:p w:rsidR="0097021C" w:rsidRPr="0008796D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08796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08796D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08796D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45649B" w:rsidRPr="0008796D">
        <w:rPr>
          <w:rFonts w:ascii="Verdana" w:hAnsi="Verdana"/>
          <w:b/>
          <w:iCs/>
          <w:color w:val="auto"/>
          <w:sz w:val="20"/>
          <w:szCs w:val="20"/>
        </w:rPr>
        <w:t>1</w:t>
      </w:r>
      <w:r w:rsidR="00D5684D" w:rsidRPr="0008796D">
        <w:rPr>
          <w:rFonts w:ascii="Verdana" w:hAnsi="Verdana"/>
          <w:b/>
          <w:iCs/>
          <w:color w:val="auto"/>
          <w:sz w:val="20"/>
          <w:szCs w:val="20"/>
        </w:rPr>
        <w:t>5</w:t>
      </w:r>
      <w:r w:rsidR="00D47C26" w:rsidRPr="0008796D">
        <w:rPr>
          <w:rFonts w:ascii="Verdana" w:hAnsi="Verdana"/>
          <w:b/>
          <w:iCs/>
          <w:color w:val="auto"/>
          <w:sz w:val="20"/>
          <w:szCs w:val="20"/>
        </w:rPr>
        <w:t xml:space="preserve"> pakietów</w:t>
      </w:r>
      <w:r w:rsidRPr="0008796D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08796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08796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8796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08796D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651B08" w:rsidRDefault="00645122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eastAsia="Times New Roman" w:hAnsi="Verdana"/>
          <w:sz w:val="20"/>
          <w:szCs w:val="20"/>
        </w:rPr>
        <w:t xml:space="preserve">      </w:t>
      </w:r>
      <w:r w:rsidR="0045649B" w:rsidRPr="0008796D">
        <w:rPr>
          <w:rFonts w:ascii="Verdana" w:eastAsia="Times New Roman" w:hAnsi="Verdana"/>
          <w:sz w:val="20"/>
          <w:szCs w:val="20"/>
        </w:rPr>
        <w:t xml:space="preserve">33615000-4;  33617000-8; 33620000-2; </w:t>
      </w:r>
      <w:hyperlink r:id="rId10" w:history="1">
        <w:r w:rsidR="0045649B" w:rsidRPr="0008796D">
          <w:rPr>
            <w:rFonts w:ascii="Verdana" w:eastAsia="Times New Roman" w:hAnsi="Verdana"/>
            <w:sz w:val="20"/>
            <w:szCs w:val="20"/>
          </w:rPr>
          <w:t>33621100-0</w:t>
        </w:r>
      </w:hyperlink>
      <w:r w:rsidR="0045649B" w:rsidRPr="0008796D">
        <w:rPr>
          <w:rFonts w:ascii="Verdana" w:eastAsia="Times New Roman" w:hAnsi="Verdana"/>
          <w:sz w:val="20"/>
          <w:szCs w:val="20"/>
        </w:rPr>
        <w:t xml:space="preserve">; 33622000-6; 33622100-7; 33622200-8; </w:t>
      </w:r>
      <w:hyperlink r:id="rId11" w:history="1">
        <w:r w:rsidR="0045649B" w:rsidRPr="0008796D">
          <w:rPr>
            <w:rFonts w:ascii="Verdana" w:eastAsia="Times New Roman" w:hAnsi="Verdana"/>
            <w:sz w:val="20"/>
            <w:szCs w:val="20"/>
          </w:rPr>
          <w:t>33622700-3</w:t>
        </w:r>
      </w:hyperlink>
      <w:r w:rsidR="0045649B" w:rsidRPr="0008796D">
        <w:rPr>
          <w:rFonts w:ascii="Verdana" w:eastAsia="Times New Roman" w:hAnsi="Verdana"/>
          <w:sz w:val="20"/>
          <w:szCs w:val="20"/>
        </w:rPr>
        <w:t xml:space="preserve">; 33622800-4; 33641000-5; 33651100-9; 33651200-0; 33652100-6; 33652300-8; 33660000-4;  33661200-3; 33661300-4; 33661400-5; 33661500-6; 33670000-7; 33674000-5; 33692100-8;  33692210-2; 33692800-5; </w:t>
      </w:r>
      <w:r w:rsidR="0045649B" w:rsidRPr="0008796D">
        <w:rPr>
          <w:rFonts w:ascii="Verdana" w:hAnsi="Verdana"/>
          <w:sz w:val="20"/>
          <w:szCs w:val="20"/>
        </w:rPr>
        <w:t>33652000-5</w:t>
      </w:r>
    </w:p>
    <w:p w:rsidR="0008796D" w:rsidRPr="0008796D" w:rsidRDefault="0008796D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08796D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7A7167" w:rsidRPr="0008796D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8796D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08796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08796D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08796D" w:rsidRDefault="00D5684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 dnia podpisania umowy nie dłużej niż do </w:t>
      </w:r>
      <w:r w:rsidR="007566DC" w:rsidRPr="0008796D">
        <w:rPr>
          <w:rFonts w:ascii="Verdana" w:hAnsi="Verdana"/>
          <w:color w:val="auto"/>
          <w:sz w:val="20"/>
          <w:szCs w:val="20"/>
        </w:rPr>
        <w:t>5 miesięcy od dnia podpisania umowy.</w:t>
      </w:r>
    </w:p>
    <w:p w:rsidR="007910DA" w:rsidRPr="0008796D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08796D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8796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8796D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I.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a)</w:t>
      </w:r>
      <w:r w:rsidRPr="0008796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b)</w:t>
      </w:r>
      <w:r w:rsidRPr="0008796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c)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d)</w:t>
      </w:r>
      <w:r w:rsidRPr="0008796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e)</w:t>
      </w:r>
      <w:r w:rsidRPr="0008796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f)</w:t>
      </w:r>
      <w:r w:rsidRPr="0008796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g)</w:t>
      </w:r>
      <w:r w:rsidRPr="0008796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h)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4)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5)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6)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II.</w:t>
      </w:r>
      <w:r w:rsidRPr="0008796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”):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7A6F2F" w:rsidRPr="0008796D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8796D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8796D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publicznychna rzecz lub z udziałem: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08796D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08796D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8796D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albo znajduje się on w innej tego rodzaju sytuacji wynikającej z podobnej procedury przewidzianej w przepisach miejsca wszczęcia tej procedury</w:t>
      </w:r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8796D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08796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655993" w:rsidRDefault="00937BB5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55993">
        <w:rPr>
          <w:rFonts w:ascii="Verdana" w:hAnsi="Verdana" w:cstheme="minorHAnsi"/>
          <w:sz w:val="20"/>
          <w:szCs w:val="20"/>
        </w:rPr>
        <w:t>-</w:t>
      </w:r>
      <w:r w:rsidRPr="00655993">
        <w:rPr>
          <w:rFonts w:ascii="Verdana" w:hAnsi="Verdana" w:cs="Arial"/>
          <w:sz w:val="20"/>
          <w:szCs w:val="20"/>
        </w:rPr>
        <w:t xml:space="preserve"> nie jest wymagane w przypadku wyrobów medycznych</w:t>
      </w:r>
      <w:r w:rsidR="00655993">
        <w:rPr>
          <w:rFonts w:ascii="Verdana" w:hAnsi="Verdana" w:cstheme="minorHAnsi"/>
          <w:color w:val="auto"/>
          <w:sz w:val="20"/>
          <w:szCs w:val="20"/>
        </w:rPr>
        <w:t>.</w:t>
      </w:r>
      <w:r w:rsidRPr="00655993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7D7744" w:rsidRPr="0008796D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8796D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8796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8796D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8796D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8796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8796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8796D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08796D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8796D">
        <w:rPr>
          <w:rFonts w:ascii="Verdana" w:hAnsi="Verdana" w:cstheme="minorHAnsi"/>
          <w:color w:val="auto"/>
          <w:sz w:val="20"/>
          <w:szCs w:val="20"/>
        </w:rPr>
        <w:t>.)</w:t>
      </w:r>
    </w:p>
    <w:p w:rsidR="009B3F4F" w:rsidRPr="0008796D" w:rsidRDefault="00937BB5" w:rsidP="0008796D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="Arial"/>
          <w:sz w:val="20"/>
          <w:szCs w:val="20"/>
        </w:rPr>
        <w:t xml:space="preserve">– nie jest wymagane w przypadku wyrobów medycznych </w:t>
      </w:r>
    </w:p>
    <w:p w:rsidR="00B97FAE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8796D">
        <w:rPr>
          <w:rFonts w:ascii="Verdana" w:hAnsi="Verdana"/>
          <w:color w:val="auto"/>
          <w:sz w:val="20"/>
          <w:szCs w:val="20"/>
        </w:rPr>
        <w:t>żąda</w:t>
      </w:r>
      <w:r w:rsidRPr="0008796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lubwnioseko dopuszczenie do udziału w postępowaniu, albo oświadczenia o przynależności do tej samej grupy kapitałowej wraz z dokumentami lub informacjami potwierdzającymi przygotowanie oferty, oferty częściowej lub wnioskuodopuszczeniedoudziałuw postępowaniu niezależnie od innego wykonawcy należącego do tej samej grupy kapitałowej;</w:t>
      </w:r>
    </w:p>
    <w:p w:rsidR="00F444EA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lastRenderedPageBreak/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8796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08796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08796D" w:rsidRDefault="009251F4" w:rsidP="0008796D">
      <w:pPr>
        <w:spacing w:line="276" w:lineRule="auto"/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8796D">
        <w:rPr>
          <w:rFonts w:ascii="Verdana" w:hAnsi="Verdana"/>
          <w:color w:val="auto"/>
          <w:sz w:val="20"/>
          <w:szCs w:val="20"/>
        </w:rPr>
        <w:t>:</w:t>
      </w:r>
    </w:p>
    <w:p w:rsidR="005C5EAB" w:rsidRPr="0008796D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siedzibęlubmiejscezamieszkania,w zakresie, o którym mowa w ust. 2 pkt 2.1.;</w:t>
      </w:r>
    </w:p>
    <w:p w:rsidR="00B97FAE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lubsąd,niezawarłukładu z wierzycielami, jego działalność gospodarcza nie jestzawieszonaaninieznajdujesięonw innej tego rodzaju </w:t>
      </w:r>
      <w:r w:rsidR="00D447D9" w:rsidRPr="0008796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8796D">
        <w:rPr>
          <w:rFonts w:ascii="Verdana" w:hAnsi="Verdana"/>
          <w:color w:val="auto"/>
          <w:sz w:val="20"/>
          <w:szCs w:val="20"/>
        </w:rPr>
        <w:t>proceduryprzewidzianejw przepisach miejsca wszczęcia tej procedury.</w:t>
      </w:r>
    </w:p>
    <w:p w:rsidR="00184B5D" w:rsidRPr="0008796D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1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Pr="0008796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m </w:t>
      </w:r>
      <w:r w:rsidRPr="0008796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2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powinien </w:t>
      </w:r>
      <w:r w:rsidRPr="0008796D">
        <w:rPr>
          <w:rFonts w:ascii="Verdana" w:hAnsi="Verdana"/>
          <w:color w:val="auto"/>
          <w:sz w:val="20"/>
          <w:szCs w:val="20"/>
        </w:rPr>
        <w:t>być wystawion</w:t>
      </w:r>
      <w:r w:rsidR="00A50B85" w:rsidRPr="0008796D">
        <w:rPr>
          <w:rFonts w:ascii="Verdana" w:hAnsi="Verdana"/>
          <w:color w:val="auto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8796D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Default="00F127F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8796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8796D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br/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8796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2" w:history="1">
        <w:r w:rsidRPr="0008796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8796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8796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8796D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8796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08796D" w:rsidRDefault="00DB0CB5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3" w:history="1">
        <w:r w:rsidR="00F54D8D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8796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8796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8796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8796D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8796D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8796D">
        <w:rPr>
          <w:rFonts w:ascii="Verdana" w:hAnsi="Verdana"/>
          <w:color w:val="auto"/>
          <w:sz w:val="20"/>
          <w:szCs w:val="20"/>
        </w:rPr>
        <w:t>XI</w:t>
      </w:r>
      <w:r w:rsidRPr="0008796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8796D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08796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7D7744" w:rsidRPr="0008796D">
        <w:rPr>
          <w:rFonts w:ascii="Verdana" w:hAnsi="Verdana"/>
          <w:color w:val="auto"/>
          <w:sz w:val="20"/>
          <w:szCs w:val="20"/>
        </w:rPr>
        <w:t>Sewa</w:t>
      </w:r>
      <w:r w:rsidR="00655993">
        <w:rPr>
          <w:rFonts w:ascii="Verdana" w:hAnsi="Verdana"/>
          <w:color w:val="auto"/>
          <w:sz w:val="20"/>
          <w:szCs w:val="20"/>
        </w:rPr>
        <w:t>s</w:t>
      </w:r>
      <w:r w:rsidR="007D7744" w:rsidRPr="0008796D">
        <w:rPr>
          <w:rFonts w:ascii="Verdana" w:hAnsi="Verdana"/>
          <w:color w:val="auto"/>
          <w:sz w:val="20"/>
          <w:szCs w:val="20"/>
        </w:rPr>
        <w:t>tynowicz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08796D">
        <w:rPr>
          <w:rFonts w:ascii="Verdana" w:hAnsi="Verdana"/>
          <w:color w:val="auto"/>
          <w:sz w:val="20"/>
          <w:szCs w:val="20"/>
        </w:rPr>
        <w:t>255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8796D">
        <w:rPr>
          <w:rFonts w:ascii="Verdana" w:hAnsi="Verdana"/>
          <w:color w:val="auto"/>
          <w:sz w:val="20"/>
          <w:szCs w:val="20"/>
        </w:rPr>
        <w:t>Teodora Jodko</w:t>
      </w:r>
      <w:r w:rsidRPr="0008796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8796D">
        <w:rPr>
          <w:rFonts w:ascii="Verdana" w:hAnsi="Verdana"/>
          <w:color w:val="auto"/>
          <w:sz w:val="20"/>
          <w:szCs w:val="20"/>
        </w:rPr>
        <w:t> </w:t>
      </w:r>
      <w:r w:rsidR="00004D56" w:rsidRPr="0008796D">
        <w:rPr>
          <w:rFonts w:ascii="Verdana" w:hAnsi="Verdana"/>
          <w:color w:val="auto"/>
          <w:sz w:val="20"/>
          <w:szCs w:val="20"/>
        </w:rPr>
        <w:t>302</w:t>
      </w:r>
    </w:p>
    <w:p w:rsidR="00D447D9" w:rsidRPr="0008796D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Termin związania ofertą</w:t>
      </w:r>
      <w:bookmarkEnd w:id="14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8796D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8796D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08796D" w:rsidRPr="0008796D">
        <w:rPr>
          <w:rFonts w:ascii="Verdana" w:hAnsi="Verdana"/>
          <w:b/>
          <w:color w:val="auto"/>
          <w:sz w:val="20"/>
          <w:szCs w:val="20"/>
        </w:rPr>
        <w:t>01.04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>.</w:t>
      </w:r>
      <w:r w:rsidR="00355501" w:rsidRPr="0008796D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08796D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08796D">
        <w:rPr>
          <w:rFonts w:ascii="Verdana" w:hAnsi="Verdana"/>
          <w:b/>
          <w:color w:val="auto"/>
          <w:sz w:val="20"/>
          <w:szCs w:val="20"/>
        </w:rPr>
        <w:t xml:space="preserve"> r.</w:t>
      </w:r>
    </w:p>
    <w:p w:rsidR="00AC6791" w:rsidRPr="0008796D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08796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08796D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8796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0879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3a</w:t>
      </w:r>
      <w:r w:rsidRPr="000879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08796D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08796D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08796D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08796D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08796D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08796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8796D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8796D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dnia </w:t>
      </w:r>
      <w:r w:rsidR="0008796D" w:rsidRPr="0008796D">
        <w:rPr>
          <w:rFonts w:ascii="Verdana" w:eastAsia="Times New Roman" w:hAnsi="Verdana"/>
          <w:b/>
          <w:color w:val="auto"/>
          <w:sz w:val="20"/>
          <w:szCs w:val="20"/>
        </w:rPr>
        <w:t>02.01</w:t>
      </w:r>
      <w:r w:rsidR="0057614D" w:rsidRPr="0008796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08796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08796D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08796D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08796D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08796D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08796D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08796D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8796D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8796D" w:rsidRPr="0008796D">
        <w:rPr>
          <w:rFonts w:ascii="Verdana" w:eastAsia="Times New Roman" w:hAnsi="Verdana"/>
          <w:b/>
          <w:color w:val="auto"/>
          <w:sz w:val="20"/>
          <w:szCs w:val="20"/>
        </w:rPr>
        <w:t xml:space="preserve">02.01.2023 </w:t>
      </w:r>
      <w:r w:rsidR="00E71299" w:rsidRPr="0008796D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08796D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08796D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8796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8796D">
        <w:rPr>
          <w:rFonts w:ascii="Verdana" w:hAnsi="Verdana" w:cstheme="minorHAnsi"/>
          <w:color w:val="auto"/>
          <w:sz w:val="20"/>
          <w:szCs w:val="20"/>
        </w:rPr>
        <w:t>)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4" w:history="1">
        <w:r w:rsidR="00E15C53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8796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8796D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08796D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08796D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oferty musi zostać obliczona zgodnie z </w:t>
      </w:r>
      <w:r w:rsidRPr="0008796D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8796D">
        <w:rPr>
          <w:rFonts w:ascii="Verdana" w:hAnsi="Verdana"/>
          <w:b/>
          <w:sz w:val="20"/>
          <w:szCs w:val="20"/>
        </w:rPr>
        <w:t>2</w:t>
      </w:r>
      <w:r w:rsidRPr="0008796D">
        <w:rPr>
          <w:rFonts w:ascii="Verdana" w:hAnsi="Verdana"/>
          <w:b/>
          <w:sz w:val="20"/>
          <w:szCs w:val="20"/>
        </w:rPr>
        <w:t>),</w:t>
      </w:r>
      <w:r w:rsidRPr="0008796D">
        <w:rPr>
          <w:rFonts w:ascii="Verdana" w:hAnsi="Verdana"/>
          <w:sz w:val="20"/>
          <w:szCs w:val="20"/>
        </w:rPr>
        <w:t xml:space="preserve"> a następnie przeniesiona do </w:t>
      </w:r>
      <w:r w:rsidRPr="0008796D">
        <w:rPr>
          <w:rFonts w:ascii="Verdana" w:hAnsi="Verdana"/>
          <w:b/>
          <w:sz w:val="20"/>
          <w:szCs w:val="20"/>
        </w:rPr>
        <w:t>formu</w:t>
      </w:r>
      <w:r w:rsidR="00393DE5" w:rsidRPr="0008796D">
        <w:rPr>
          <w:rFonts w:ascii="Verdana" w:hAnsi="Verdana"/>
          <w:b/>
          <w:sz w:val="20"/>
          <w:szCs w:val="20"/>
        </w:rPr>
        <w:t>larza ofertowego (załącznik nr 1</w:t>
      </w:r>
      <w:r w:rsidRPr="0008796D">
        <w:rPr>
          <w:rFonts w:ascii="Verdana" w:hAnsi="Verdana"/>
          <w:b/>
          <w:sz w:val="20"/>
          <w:szCs w:val="20"/>
        </w:rPr>
        <w:t>).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ofertowa musi być wyrażona w złotych polskich z dokładnością do dwóch miejsc po </w:t>
      </w:r>
      <w:r w:rsidRPr="0008796D">
        <w:rPr>
          <w:rFonts w:ascii="Verdana" w:hAnsi="Verdana"/>
          <w:sz w:val="20"/>
          <w:szCs w:val="20"/>
        </w:rPr>
        <w:lastRenderedPageBreak/>
        <w:t>przecinku. W złotych polskich będą prowadzone rozliczenia między stronami.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8796D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8796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393DE5" w:rsidRPr="0008796D" w:rsidRDefault="00393DE5" w:rsidP="0008796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-7797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We wszystkich pakietach  Zamawiający wymaga podania</w:t>
      </w:r>
      <w:r w:rsidRPr="0008796D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393DE5" w:rsidRPr="0008796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  Zaoferowana cena jednostkowa leków </w:t>
      </w:r>
      <w:r w:rsidRPr="0008796D">
        <w:rPr>
          <w:rFonts w:ascii="Verdana" w:hAnsi="Verdana"/>
          <w:b/>
          <w:bCs/>
          <w:sz w:val="20"/>
          <w:szCs w:val="20"/>
        </w:rPr>
        <w:t>w pakiecie nr 10, 14 i 15 poz. 29,30</w:t>
      </w:r>
      <w:r w:rsidRPr="0008796D">
        <w:rPr>
          <w:rFonts w:ascii="Verdana" w:hAnsi="Verdana"/>
          <w:bCs/>
          <w:sz w:val="20"/>
          <w:szCs w:val="20"/>
        </w:rPr>
        <w:t xml:space="preserve">  nie może być wyższa niż limit finansowania określony przez NFZ w katalogu substancji czynnych stosowanych w chemioterapii.</w:t>
      </w:r>
    </w:p>
    <w:p w:rsidR="00393DE5" w:rsidRPr="0008796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  Zaoferowana cena jednostkowa leków </w:t>
      </w:r>
      <w:r w:rsidRPr="0008796D">
        <w:rPr>
          <w:rFonts w:ascii="Verdana" w:hAnsi="Verdana"/>
          <w:b/>
          <w:bCs/>
          <w:sz w:val="20"/>
          <w:szCs w:val="20"/>
        </w:rPr>
        <w:t>w pakiecie nr 12</w:t>
      </w:r>
      <w:r w:rsidRPr="0008796D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 stosowanych w ramach programu lekowego</w:t>
      </w:r>
      <w:r w:rsidRPr="0008796D">
        <w:rPr>
          <w:rFonts w:ascii="Verdana" w:hAnsi="Verdana"/>
          <w:sz w:val="20"/>
          <w:szCs w:val="20"/>
        </w:rPr>
        <w:t xml:space="preserve"> leczenia zapobiegawczego chorych z nawracającymi napadami dziedzicznego obrzęku naczynioruchowego (HAE) o ciężkim przebiegu.</w:t>
      </w:r>
    </w:p>
    <w:p w:rsidR="00393DE5" w:rsidRPr="0008796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Zaoferowana cena jednostkowa leków </w:t>
      </w:r>
      <w:r w:rsidRPr="0008796D">
        <w:rPr>
          <w:rFonts w:ascii="Verdana" w:hAnsi="Verdana"/>
          <w:b/>
          <w:bCs/>
          <w:sz w:val="20"/>
          <w:szCs w:val="20"/>
        </w:rPr>
        <w:t>w pakietach nr 11 i 13</w:t>
      </w:r>
      <w:r w:rsidRPr="0008796D">
        <w:rPr>
          <w:rFonts w:ascii="Verdana" w:hAnsi="Verdana"/>
          <w:bCs/>
          <w:sz w:val="20"/>
          <w:szCs w:val="20"/>
        </w:rPr>
        <w:t xml:space="preserve"> nie może być wyższa niż limit finansowania przez NFZ w katalogu substancji czynnych. Lek musi znajdować się w katalogu substancji czynnych stosowanych w ramach programu leczenia ciężkiej astmy </w:t>
      </w:r>
      <w:proofErr w:type="spellStart"/>
      <w:r w:rsidRPr="0008796D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08796D">
        <w:rPr>
          <w:rFonts w:ascii="Verdana" w:hAnsi="Verdana"/>
          <w:bCs/>
          <w:sz w:val="20"/>
          <w:szCs w:val="20"/>
        </w:rPr>
        <w:t>.</w:t>
      </w:r>
    </w:p>
    <w:p w:rsidR="00393DE5" w:rsidRPr="0008796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08796D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08796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08796D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08796D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08796D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formalnościach, jakie muszą zostać dopełnione po wyborze</w:t>
      </w:r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fertyw celu zawarcia umowy w sprawie Zamówienia publicznego</w:t>
      </w:r>
      <w:bookmarkEnd w:id="20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08796D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8796D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08796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8796D">
        <w:rPr>
          <w:rFonts w:ascii="Verdana" w:hAnsi="Verdana"/>
          <w:color w:val="auto"/>
          <w:sz w:val="20"/>
          <w:szCs w:val="20"/>
        </w:rPr>
        <w:t>w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8796D">
        <w:rPr>
          <w:rFonts w:ascii="Verdana" w:hAnsi="Verdana"/>
          <w:b/>
          <w:color w:val="auto"/>
          <w:sz w:val="20"/>
          <w:szCs w:val="20"/>
        </w:rPr>
        <w:t>u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do SWZ</w:t>
      </w:r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08796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08796D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upływem terminu do jego wniesienia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08796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8796D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10</w:t>
      </w:r>
      <w:r w:rsidR="00F565A0"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8796D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</w:t>
      </w:r>
      <w:r w:rsidR="0074511C" w:rsidRPr="0008796D">
        <w:rPr>
          <w:rFonts w:ascii="Verdana" w:hAnsi="Verdana"/>
          <w:color w:val="auto"/>
          <w:sz w:val="20"/>
          <w:szCs w:val="20"/>
        </w:rPr>
        <w:t>5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8796D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8796D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08796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08796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08796D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8796D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08796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8796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08796D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8796D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8796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8796D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08796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08796D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8796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8796D">
        <w:rPr>
          <w:rFonts w:ascii="Verdana" w:hAnsi="Verdana"/>
          <w:color w:val="auto"/>
          <w:sz w:val="20"/>
          <w:szCs w:val="20"/>
        </w:rPr>
        <w:t>.</w:t>
      </w:r>
    </w:p>
    <w:p w:rsidR="00D730D5" w:rsidRPr="0008796D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8796D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8796D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08796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8796D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655993"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8796D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8796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08796D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08796D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lastRenderedPageBreak/>
        <w:t>Lista załączników: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08796D">
        <w:rPr>
          <w:rFonts w:ascii="Verdana" w:hAnsi="Verdana"/>
          <w:color w:val="auto"/>
          <w:sz w:val="20"/>
          <w:szCs w:val="20"/>
        </w:rPr>
        <w:t>–  JEDZ</w:t>
      </w:r>
      <w:r w:rsidR="00CB526B" w:rsidRPr="0008796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41657B" w:rsidRPr="0008796D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08796D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08796D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F83604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4</w:t>
      </w:r>
      <w:r w:rsidRPr="0008796D">
        <w:rPr>
          <w:rFonts w:ascii="Verdana" w:hAnsi="Verdana"/>
          <w:color w:val="auto"/>
          <w:sz w:val="20"/>
          <w:szCs w:val="20"/>
        </w:rPr>
        <w:t xml:space="preserve"> – 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08796D">
        <w:rPr>
          <w:rFonts w:ascii="Verdana" w:hAnsi="Verdana"/>
          <w:b/>
          <w:color w:val="auto"/>
          <w:sz w:val="20"/>
          <w:szCs w:val="20"/>
        </w:rPr>
        <w:t>n</w:t>
      </w:r>
      <w:r w:rsidRPr="0008796D">
        <w:rPr>
          <w:rFonts w:ascii="Verdana" w:hAnsi="Verdana"/>
          <w:b/>
          <w:color w:val="auto"/>
          <w:sz w:val="20"/>
          <w:szCs w:val="20"/>
        </w:rPr>
        <w:t>r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6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08796D">
        <w:rPr>
          <w:rFonts w:ascii="Verdana" w:eastAsia="Arial Unicode MS" w:hAnsi="Verdana"/>
          <w:color w:val="auto"/>
          <w:sz w:val="20"/>
          <w:szCs w:val="20"/>
        </w:rPr>
        <w:t>–</w:t>
      </w:r>
      <w:r w:rsidRPr="0008796D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08796D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08796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08796D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08796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08796D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08796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08796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Zatwierdzono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08796D">
        <w:rPr>
          <w:rFonts w:ascii="Verdana" w:hAnsi="Verdana"/>
          <w:color w:val="auto"/>
          <w:sz w:val="20"/>
          <w:szCs w:val="20"/>
        </w:rPr>
        <w:t>01.12.</w:t>
      </w:r>
      <w:r w:rsidR="00355501" w:rsidRPr="0008796D">
        <w:rPr>
          <w:rFonts w:ascii="Verdana" w:hAnsi="Verdana"/>
          <w:color w:val="auto"/>
          <w:sz w:val="20"/>
          <w:szCs w:val="20"/>
        </w:rPr>
        <w:t>2022 r.</w:t>
      </w:r>
    </w:p>
    <w:p w:rsidR="00635724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8796D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8796D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E02948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…………………..</w:t>
      </w:r>
      <w:r w:rsidR="007F4043" w:rsidRPr="0008796D">
        <w:rPr>
          <w:rFonts w:ascii="Verdana" w:hAnsi="Verdana"/>
          <w:color w:val="auto"/>
          <w:sz w:val="20"/>
          <w:szCs w:val="20"/>
        </w:rPr>
        <w:t>.</w:t>
      </w:r>
    </w:p>
    <w:sectPr w:rsidR="007F4043" w:rsidRPr="0008796D" w:rsidSect="0008796D">
      <w:headerReference w:type="default" r:id="rId16"/>
      <w:footerReference w:type="even" r:id="rId17"/>
      <w:footerReference w:type="default" r:id="rId18"/>
      <w:head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96D" w:rsidRDefault="0008796D">
      <w:r>
        <w:separator/>
      </w:r>
    </w:p>
    <w:p w:rsidR="0008796D" w:rsidRDefault="0008796D"/>
  </w:endnote>
  <w:endnote w:type="continuationSeparator" w:id="1">
    <w:p w:rsidR="0008796D" w:rsidRDefault="0008796D">
      <w:r>
        <w:continuationSeparator/>
      </w:r>
    </w:p>
    <w:p w:rsidR="0008796D" w:rsidRDefault="000879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6D" w:rsidRDefault="000879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796D" w:rsidRDefault="0008796D" w:rsidP="00487F43">
    <w:pPr>
      <w:pStyle w:val="Stopka"/>
      <w:ind w:right="360"/>
    </w:pPr>
  </w:p>
  <w:p w:rsidR="0008796D" w:rsidRDefault="000879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6D" w:rsidRPr="00657C4F" w:rsidRDefault="0008796D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 w:rsidR="00FC64C1">
      <w:rPr>
        <w:rFonts w:ascii="Verdana" w:hAnsi="Verdana"/>
        <w:noProof/>
        <w:sz w:val="14"/>
        <w:szCs w:val="14"/>
      </w:rPr>
      <w:t>2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 w:rsidR="00FC64C1">
      <w:rPr>
        <w:rFonts w:ascii="Verdana" w:hAnsi="Verdana"/>
        <w:noProof/>
        <w:sz w:val="14"/>
        <w:szCs w:val="14"/>
      </w:rPr>
      <w:t>12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96D" w:rsidRDefault="0008796D">
      <w:r>
        <w:separator/>
      </w:r>
    </w:p>
    <w:p w:rsidR="0008796D" w:rsidRDefault="0008796D"/>
  </w:footnote>
  <w:footnote w:type="continuationSeparator" w:id="1">
    <w:p w:rsidR="0008796D" w:rsidRDefault="0008796D">
      <w:r>
        <w:continuationSeparator/>
      </w:r>
    </w:p>
    <w:p w:rsidR="0008796D" w:rsidRDefault="000879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6D" w:rsidRPr="00D447D9" w:rsidRDefault="0008796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 56 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08796D" w:rsidRPr="00015936" w:rsidRDefault="0008796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6D" w:rsidRPr="00004D56" w:rsidRDefault="0008796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4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zetargi@wcpit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blokery-kanalow-wapniowych-30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www.portalzp.pl/kody-cpv/szczegoly/srodki-obnizajace-krzepliwosc-krwi-304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www.gpg4win.org/index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C53-FF75-4C56-8C15-019CF9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4722</Words>
  <Characters>28336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32993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19</cp:revision>
  <cp:lastPrinted>2022-12-01T07:31:00Z</cp:lastPrinted>
  <dcterms:created xsi:type="dcterms:W3CDTF">2022-05-19T09:30:00Z</dcterms:created>
  <dcterms:modified xsi:type="dcterms:W3CDTF">2022-12-01T07:31:00Z</dcterms:modified>
</cp:coreProperties>
</file>