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952B10">
        <w:rPr>
          <w:rFonts w:ascii="Verdana" w:hAnsi="Verdana" w:cs="Times New Roman"/>
          <w:b/>
          <w:sz w:val="20"/>
          <w:szCs w:val="20"/>
        </w:rPr>
        <w:t>56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 xml:space="preserve">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952B10">
        <w:rPr>
          <w:rFonts w:ascii="Verdana" w:hAnsi="Verdana" w:cs="Times New Roman"/>
          <w:b/>
          <w:sz w:val="20"/>
          <w:szCs w:val="20"/>
        </w:rPr>
        <w:t>hemofiltracji</w:t>
      </w:r>
      <w:proofErr w:type="spellEnd"/>
      <w:r w:rsidRPr="00952B10">
        <w:rPr>
          <w:rFonts w:ascii="Verdana" w:hAnsi="Verdana" w:cs="Times New Roman"/>
          <w:b/>
          <w:sz w:val="20"/>
          <w:szCs w:val="20"/>
        </w:rPr>
        <w:t xml:space="preserve"> oraz przeciwciał monoklonalnych stosowanych w zapobieganiu napadom dziedzicznego obrzęku naczynioruchowego.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D0B9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D0B9A" w:rsidRPr="00987333">
      <w:rPr>
        <w:b/>
        <w:sz w:val="14"/>
        <w:szCs w:val="14"/>
      </w:rPr>
      <w:fldChar w:fldCharType="separate"/>
    </w:r>
    <w:r w:rsidR="00952B10">
      <w:rPr>
        <w:b/>
        <w:noProof/>
        <w:sz w:val="14"/>
        <w:szCs w:val="14"/>
      </w:rPr>
      <w:t>1</w:t>
    </w:r>
    <w:r w:rsidR="004D0B9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D0B9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D0B9A" w:rsidRPr="00987333">
      <w:rPr>
        <w:sz w:val="14"/>
        <w:szCs w:val="14"/>
      </w:rPr>
      <w:fldChar w:fldCharType="separate"/>
    </w:r>
    <w:r w:rsidR="00952B10">
      <w:rPr>
        <w:noProof/>
        <w:sz w:val="14"/>
        <w:szCs w:val="14"/>
      </w:rPr>
      <w:t>1</w:t>
    </w:r>
    <w:r w:rsidR="004D0B9A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8</cp:revision>
  <cp:lastPrinted>2016-11-02T08:59:00Z</cp:lastPrinted>
  <dcterms:created xsi:type="dcterms:W3CDTF">2022-02-08T11:47:00Z</dcterms:created>
  <dcterms:modified xsi:type="dcterms:W3CDTF">2022-11-28T09:46:00Z</dcterms:modified>
</cp:coreProperties>
</file>