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E6" w:rsidRPr="00FD48E6" w:rsidRDefault="00FD48E6" w:rsidP="00FD48E6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jc w:val="center"/>
        <w:rPr>
          <w:rFonts w:ascii="Arial" w:hAnsi="Arial" w:cs="Arial"/>
          <w:lang w:val="en-US"/>
        </w:rPr>
      </w:pPr>
      <w:r w:rsidRPr="00FD48E6">
        <w:rPr>
          <w:rFonts w:ascii="Arial" w:hAnsi="Arial" w:cs="Arial"/>
          <w:noProof/>
          <w:sz w:val="18"/>
          <w:szCs w:val="18"/>
          <w:lang w:val="en-GB" w:eastAsia="en-GB"/>
        </w:rPr>
        <w:drawing>
          <wp:inline distT="0" distB="0" distL="0" distR="0" wp14:anchorId="0299CCD0" wp14:editId="6152F6B1">
            <wp:extent cx="5762625" cy="590550"/>
            <wp:effectExtent l="0" t="0" r="0" b="0"/>
            <wp:docPr id="12" name="Obraz 1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8E6" w:rsidRPr="00FD48E6" w:rsidRDefault="00FD48E6" w:rsidP="00FD48E6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 w:line="240" w:lineRule="auto"/>
        <w:jc w:val="center"/>
        <w:rPr>
          <w:rFonts w:ascii="Times New Roman" w:hAnsi="Times New Roman"/>
          <w:sz w:val="4"/>
          <w:szCs w:val="4"/>
        </w:rPr>
      </w:pPr>
      <w:r w:rsidRPr="00FD48E6">
        <w:rPr>
          <w:rFonts w:ascii="Arial" w:hAnsi="Arial" w:cs="Arial"/>
          <w:sz w:val="20"/>
          <w:szCs w:val="20"/>
        </w:rPr>
        <w:t>Sfinansowano w ramach reakcji Unii na pandemię COVID-19</w:t>
      </w:r>
      <w:r w:rsidR="006778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1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" o:allowincell="f" filled="f" stroked="f" strokeweight=".5pt">
            <v:path arrowok="t"/>
            <v:textbox inset="20pt,0,,0">
              <w:txbxContent>
                <w:p w:rsidR="00FD48E6" w:rsidRPr="0021774D" w:rsidRDefault="00FD48E6" w:rsidP="00FD48E6">
                  <w:pPr>
                    <w:rPr>
                      <w:rFonts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67784E">
        <w:rPr>
          <w:rFonts w:asciiTheme="minorHAnsi" w:hAnsiTheme="minorHAnsi" w:cstheme="minorHAnsi"/>
          <w:color w:val="000000" w:themeColor="text1"/>
        </w:rPr>
        <w:t xml:space="preserve">01/2023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bookmarkStart w:id="0" w:name="_GoBack"/>
      <w:bookmarkEnd w:id="0"/>
      <w:r w:rsidR="00CC6DB7">
        <w:rPr>
          <w:rFonts w:asciiTheme="minorHAnsi" w:hAnsiTheme="minorHAnsi" w:cstheme="minorHAnsi"/>
          <w:color w:val="000000" w:themeColor="text1"/>
        </w:rPr>
        <w:t>-01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C60CAE">
        <w:rPr>
          <w:rFonts w:asciiTheme="minorHAnsi" w:hAnsiTheme="minorHAnsi" w:cstheme="minorHAnsi"/>
          <w:color w:val="000000" w:themeColor="text1"/>
        </w:rPr>
        <w:t>27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336E34">
        <w:rPr>
          <w:rFonts w:asciiTheme="minorHAnsi" w:hAnsiTheme="minorHAnsi" w:cstheme="minorHAnsi"/>
          <w:b/>
          <w:bCs/>
          <w:color w:val="000000" w:themeColor="text1"/>
        </w:rPr>
        <w:t xml:space="preserve">zakup </w:t>
      </w:r>
      <w:r w:rsidR="00E609F8" w:rsidRPr="00E609F8">
        <w:rPr>
          <w:rFonts w:asciiTheme="minorHAnsi" w:hAnsiTheme="minorHAnsi" w:cstheme="minorHAnsi"/>
          <w:b/>
          <w:bCs/>
          <w:color w:val="000000" w:themeColor="text1"/>
        </w:rPr>
        <w:t>sprzętu medycznego do diagnostyki endoskopowej oraz sytemu centralnego monitorowania pacjenta wraz z jego zainstalowaniem i uruchomieniem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7673CD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1:</w:t>
      </w:r>
    </w:p>
    <w:p w:rsidR="00AE32EA" w:rsidRPr="004B5F2B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4"/>
          <w:szCs w:val="24"/>
          <w:lang w:eastAsia="pl-PL"/>
        </w:rPr>
        <w:t xml:space="preserve"> </w:t>
      </w: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1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2 ust. 8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 na następujący: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„Reklamacje Zamawiającego będą rozpatrywane przez Wykonawcę niezwłocznie, nie później jednak niż w ciągu 5 dni roboczych od daty otrzymania pisemnego zgłoszenia o wadzie”?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2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3 ust. 7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dodanie zapisu i wprowadzenie go do umowy: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„…, zgody takiej nie można bezpodstawnie odmówić”?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3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4 ust. 3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„W przypadku awarii Wykonawca przystąpi do naprawy w terminie 48 godzin od zgłoszenia awarii bądź w przypadku zaistnienia obiektywnych przesłanek dnia dostarczenia uszkodzonego sprzętu do serwisu Wykonawcy (w okresie gwarancji przesyłką kurierską na jego koszt). Zgłoszenie przez Zamawiającego awarii nastąpi pisemnie, e-mailem lub faksem”?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4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4 ust. 4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„Na czas awarii trwającej dłużej niż 7 dni roboczych oraz do czasu wymiany sprzętu lub podzespołu zgodnie z ust. 7 i 8, Wykonawca dostarczy sprzęt zastępczy na prośbę Zamawiającego skierowaną na adres email……………………………. (…)”?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5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4 ust. 6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lastRenderedPageBreak/>
        <w:t xml:space="preserve">„Wykonawca zobowiązuje się do dokonania naprawy nie później niż w ciągu 7 dni roboczych bądź 14 dni roboczych w przypadku konieczności sprowadzenia części z zagranicy, od przystąpienia do usunięcia awarii”?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6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4 ust. 7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„Wykonawca gwarantuje, że trzykrotna naprawa gwarancyjna tego samego istotnego podzespołu w okresie gwarancji (nie będąca efektem niewłaściwej eksploatacji urządzenia) powoduje wymianę podzespołu na nowy w przypadku jego kolejnej awarii. Wykonawca dokona wymiany, o jakiej mowa w zdaniu pierwszym w terminie przez strony uzgodnionym, jednak nie później niż 7 dni roboczych od przystąpienia do usuwania awarii?”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7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4 ust. 8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„Wykonawca zobowiązuje się do wymiany sprzętu na nowy o parametrach i wymogach technicznych nie gorszych niż poprzedni, w okresie gwarancji w przypadku wystąpienia trzech istotnych awarii (nie będących efektem niewłaściwej eksploatacji urządzenia), których usunięcie związane będzie z wymianą głównych części (podzespołów). Przy trzeciej awarii, lub w przypadku niemożności (…)”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8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4 ust. 9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„W przypadku wymiany uszkodzonego sprzętu na nowy lub wymiany jego części (podzespołów) w związku z okolicznościami określonymi w ust. 7 oraz w przypadku skorzystania przez Zamawiającego z rękojmi, elementy podlegające wymianie uzyskują nową gwarancję, nie dłuższą niż 6 miesięcy. W przypadku wymiany całego urządzenia na nowe wolne od wad gwarancja rozpoczyna swój bieg od nowa, nie dłużej niż na kolejne 24 miesiące”?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9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4 ust. 10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„Przerwy w pracy urządzeń spowodowane naprawami gwarancyjnymi odpowiednio wydłużają okres gwarancji, jeżeli przestój trwał dłużej niż 7 dni roboczych”?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10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6 ust 1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Prosimy o doprecyzowanie wysokości przewidzianych kar umownych w </w:t>
      </w:r>
      <w:proofErr w:type="spellStart"/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>ppkt</w:t>
      </w:r>
      <w:proofErr w:type="spellEnd"/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1) w wysokości 0,5% wartości brutto niedostarczonego asortymentu/ urządzenia za każdy dzień zwłoki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2) w wysokości 0,2% wartości danego asortymentu/ urządzenia za każdy dzień zwłoki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11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wzoru umowy § 6 ust 1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doprecyzowanie zapisu: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„Maksymalna wielkość naliczonych kar umownych nie może przekroczyć 20% wartości umowy brutto’?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12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zapisów umowy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wyrazi zgodę na dodanie następującego zapisu do umowy: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Fakt dostarczenia urządzenia zastępczego na czas przedłużającej się realizacji zobowiązań umownych wyłącza możliwość naliczania kar umownych?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13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załącznika nr 2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lastRenderedPageBreak/>
        <w:t xml:space="preserve">Prosimy o potwierdzenie, że Wykonawca w tabeli cenowej dla wymaganych pozycji wskaże asortyment/ zakres, który zgodnie z prawem jest wyceniany z 23% stawką vat?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Pytanie 14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Dotyczy załącznik nr 1, pakiet nr 1, Pozycja 4 Tor wizyjny HD – 1 szt., pkt. 11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 xml:space="preserve">Czy zamawiający dopuści podłączenie proponowanego systemu archiwizacji do posiadanej listy roboczej od endoskopii czy to będzie oddzielna konfiguracja z nową listą roboczą? 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AE32EA">
        <w:rPr>
          <w:rFonts w:ascii="Tahoma" w:hAnsi="Tahoma" w:cs="Tahoma"/>
          <w:color w:val="000000"/>
          <w:sz w:val="20"/>
          <w:szCs w:val="20"/>
          <w:lang w:eastAsia="pl-PL"/>
        </w:rPr>
        <w:t>Jeśli nowa konfiguracja z listą to czy zamawiający posiada stosowne licencje do podłączenia nowej pracowni endoskopowej do systemu szpitalnego?</w:t>
      </w:r>
    </w:p>
    <w:p w:rsidR="00AE32EA" w:rsidRPr="00AE32EA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AE32EA" w:rsidRDefault="0086066B" w:rsidP="00AE32E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 w:rsidR="00AE32EA">
        <w:rPr>
          <w:rFonts w:asciiTheme="minorHAnsi" w:hAnsiTheme="minorHAnsi" w:cstheme="minorHAnsi"/>
        </w:rPr>
        <w:t>:</w:t>
      </w:r>
    </w:p>
    <w:p w:rsidR="00AE32EA" w:rsidRPr="00AE32EA" w:rsidRDefault="00504698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Ad 1-12</w:t>
      </w:r>
      <w:r w:rsidR="00AE32EA" w:rsidRPr="00AE32EA">
        <w:rPr>
          <w:rFonts w:asciiTheme="minorHAnsi" w:hAnsiTheme="minorHAnsi" w:cstheme="minorHAnsi"/>
          <w:shd w:val="clear" w:color="auto" w:fill="FFFFFF"/>
        </w:rPr>
        <w:t xml:space="preserve"> Zamawiający pozostawia zapisy umowy bez zmian.</w:t>
      </w:r>
    </w:p>
    <w:p w:rsidR="0086066B" w:rsidRDefault="00AE32EA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AE32EA">
        <w:rPr>
          <w:rFonts w:asciiTheme="minorHAnsi" w:hAnsiTheme="minorHAnsi" w:cstheme="minorHAnsi"/>
          <w:shd w:val="clear" w:color="auto" w:fill="FFFFFF"/>
        </w:rPr>
        <w:t xml:space="preserve">Ad </w:t>
      </w:r>
      <w:r w:rsidR="00504698">
        <w:rPr>
          <w:rFonts w:asciiTheme="minorHAnsi" w:hAnsiTheme="minorHAnsi" w:cstheme="minorHAnsi"/>
          <w:shd w:val="clear" w:color="auto" w:fill="FFFFFF"/>
        </w:rPr>
        <w:t>1</w:t>
      </w:r>
      <w:r w:rsidRPr="00AE32EA">
        <w:rPr>
          <w:rFonts w:asciiTheme="minorHAnsi" w:hAnsiTheme="minorHAnsi" w:cstheme="minorHAnsi"/>
          <w:shd w:val="clear" w:color="auto" w:fill="FFFFFF"/>
        </w:rPr>
        <w:t xml:space="preserve">3: Zamawiający dopuszcza możliwość </w:t>
      </w:r>
      <w:r w:rsidR="004622E8">
        <w:rPr>
          <w:rFonts w:asciiTheme="minorHAnsi" w:hAnsiTheme="minorHAnsi" w:cstheme="minorHAnsi"/>
          <w:shd w:val="clear" w:color="auto" w:fill="FFFFFF"/>
        </w:rPr>
        <w:t>wskazania</w:t>
      </w:r>
      <w:r w:rsidR="004622E8" w:rsidRPr="004622E8">
        <w:rPr>
          <w:rFonts w:asciiTheme="minorHAnsi" w:hAnsiTheme="minorHAnsi" w:cstheme="minorHAnsi"/>
          <w:shd w:val="clear" w:color="auto" w:fill="FFFFFF"/>
        </w:rPr>
        <w:t xml:space="preserve"> asortyment</w:t>
      </w:r>
      <w:r w:rsidR="004622E8">
        <w:rPr>
          <w:rFonts w:asciiTheme="minorHAnsi" w:hAnsiTheme="minorHAnsi" w:cstheme="minorHAnsi"/>
          <w:shd w:val="clear" w:color="auto" w:fill="FFFFFF"/>
        </w:rPr>
        <w:t>u</w:t>
      </w:r>
      <w:r w:rsidR="004622E8" w:rsidRPr="004622E8">
        <w:rPr>
          <w:rFonts w:asciiTheme="minorHAnsi" w:hAnsiTheme="minorHAnsi" w:cstheme="minorHAnsi"/>
          <w:shd w:val="clear" w:color="auto" w:fill="FFFFFF"/>
        </w:rPr>
        <w:t>/ zakres</w:t>
      </w:r>
      <w:r w:rsidR="004622E8">
        <w:rPr>
          <w:rFonts w:asciiTheme="minorHAnsi" w:hAnsiTheme="minorHAnsi" w:cstheme="minorHAnsi"/>
          <w:shd w:val="clear" w:color="auto" w:fill="FFFFFF"/>
        </w:rPr>
        <w:t>u</w:t>
      </w:r>
      <w:r w:rsidR="004622E8" w:rsidRPr="004622E8">
        <w:rPr>
          <w:rFonts w:asciiTheme="minorHAnsi" w:hAnsiTheme="minorHAnsi" w:cstheme="minorHAnsi"/>
          <w:shd w:val="clear" w:color="auto" w:fill="FFFFFF"/>
        </w:rPr>
        <w:t>, który zgodnie z prawem jest wyceniany z 23% stawką vat</w:t>
      </w:r>
      <w:r w:rsidRPr="00AE32EA">
        <w:rPr>
          <w:rFonts w:asciiTheme="minorHAnsi" w:hAnsiTheme="minorHAnsi" w:cstheme="minorHAnsi"/>
          <w:shd w:val="clear" w:color="auto" w:fill="FFFFFF"/>
        </w:rPr>
        <w:t>.</w:t>
      </w:r>
    </w:p>
    <w:p w:rsidR="00485494" w:rsidRPr="00D065E0" w:rsidRDefault="00485494" w:rsidP="00AE32EA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7E4DB5">
        <w:rPr>
          <w:rFonts w:asciiTheme="minorHAnsi" w:hAnsiTheme="minorHAnsi" w:cstheme="minorHAnsi"/>
          <w:shd w:val="clear" w:color="auto" w:fill="FFFFFF"/>
        </w:rPr>
        <w:t xml:space="preserve">Ad 14: Zamawiający wyjaśnia: </w:t>
      </w:r>
      <w:r w:rsidR="007E4DB5" w:rsidRPr="007E4DB5">
        <w:rPr>
          <w:rFonts w:asciiTheme="minorHAnsi" w:hAnsiTheme="minorHAnsi" w:cstheme="minorHAnsi"/>
          <w:shd w:val="clear" w:color="auto" w:fill="FFFFFF"/>
        </w:rPr>
        <w:t>Proponowany system archiwizacji nagrań endoskopowych powinien być podłączony do istniejącej listy roboczej (istniejąca pracownia Zakładu Diagnostyki Endoskopowej)</w:t>
      </w:r>
      <w:r w:rsidR="00306760">
        <w:rPr>
          <w:rFonts w:asciiTheme="minorHAnsi" w:hAnsiTheme="minorHAnsi" w:cstheme="minorHAnsi"/>
          <w:shd w:val="clear" w:color="auto" w:fill="FFFFFF"/>
        </w:rPr>
        <w:t>.</w:t>
      </w:r>
    </w:p>
    <w:p w:rsidR="00736747" w:rsidRPr="004B5F2B" w:rsidRDefault="0073674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5D0682" w:rsidRPr="00597CD1" w:rsidRDefault="005D0682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2:</w:t>
      </w:r>
    </w:p>
    <w:p w:rsidR="00E06A0E" w:rsidRPr="00E06A0E" w:rsidRDefault="00E06A0E" w:rsidP="00E06A0E">
      <w:pPr>
        <w:spacing w:after="0" w:line="240" w:lineRule="auto"/>
        <w:jc w:val="both"/>
        <w:rPr>
          <w:sz w:val="20"/>
          <w:szCs w:val="20"/>
        </w:rPr>
      </w:pPr>
      <w:r w:rsidRPr="00E06A0E">
        <w:rPr>
          <w:sz w:val="20"/>
          <w:szCs w:val="20"/>
        </w:rPr>
        <w:t>Dotyczy przedmiotowych środków dowodowych zapisów SWZ</w:t>
      </w:r>
    </w:p>
    <w:p w:rsidR="00E06A0E" w:rsidRPr="00E06A0E" w:rsidRDefault="00E06A0E" w:rsidP="00E06A0E">
      <w:pPr>
        <w:spacing w:after="0" w:line="240" w:lineRule="auto"/>
        <w:jc w:val="both"/>
        <w:rPr>
          <w:sz w:val="20"/>
          <w:szCs w:val="20"/>
        </w:rPr>
      </w:pPr>
      <w:r w:rsidRPr="00E06A0E">
        <w:rPr>
          <w:sz w:val="20"/>
          <w:szCs w:val="20"/>
        </w:rPr>
        <w:t>W sytuacji kiedy przedmiotowe środki dowodowe w postaci np. katalogów, folderów, metodyk, kart technicznych w języku polskim nie będą zawierały treści wymogów w zakresie parametrów technicznych określonych przez Zamawiającego w Załączniku nr 1 – Opis przedmiotu zamówienia, zwracamy się z prośbą o dopuszczenie przedłożenia oświadczenia Wykonawcy lub przedstawiciela producenta oferowanego przedmiotu zamówienia, zgodnie z którym zostanie potwierdzone spełnianie parametrów technicznych przedmiotu zamówienia, zgodnie z opisem podanym w SWZ</w:t>
      </w:r>
    </w:p>
    <w:p w:rsidR="00E06A0E" w:rsidRPr="00E06A0E" w:rsidRDefault="00E06A0E" w:rsidP="00E06A0E">
      <w:pPr>
        <w:spacing w:after="0" w:line="240" w:lineRule="auto"/>
        <w:jc w:val="both"/>
        <w:rPr>
          <w:sz w:val="20"/>
          <w:szCs w:val="20"/>
        </w:rPr>
      </w:pPr>
      <w:r w:rsidRPr="00E06A0E">
        <w:rPr>
          <w:sz w:val="20"/>
          <w:szCs w:val="20"/>
        </w:rPr>
        <w:t xml:space="preserve">Dotyczy VI </w:t>
      </w:r>
      <w:proofErr w:type="spellStart"/>
      <w:r w:rsidRPr="00E06A0E">
        <w:rPr>
          <w:sz w:val="20"/>
          <w:szCs w:val="20"/>
        </w:rPr>
        <w:t>VI</w:t>
      </w:r>
      <w:proofErr w:type="spellEnd"/>
      <w:r w:rsidRPr="00E06A0E">
        <w:rPr>
          <w:sz w:val="20"/>
          <w:szCs w:val="20"/>
        </w:rPr>
        <w:t>. Termin wykonania zamówienia</w:t>
      </w:r>
    </w:p>
    <w:p w:rsidR="00E06A0E" w:rsidRPr="00E06A0E" w:rsidRDefault="00E06A0E" w:rsidP="00E06A0E">
      <w:pPr>
        <w:spacing w:after="0" w:line="240" w:lineRule="auto"/>
        <w:jc w:val="both"/>
        <w:rPr>
          <w:sz w:val="20"/>
          <w:szCs w:val="20"/>
        </w:rPr>
      </w:pPr>
      <w:r w:rsidRPr="00E06A0E">
        <w:rPr>
          <w:sz w:val="20"/>
          <w:szCs w:val="20"/>
        </w:rPr>
        <w:t>Prosimy o odpowiedź, czy Zamawiający wyrazi zgodę na wydłużenie terminu wykonania umowy tj. dostawy sprzętu medycznego do 100 dni od daty podpisania umowy? Jeśli Zamawiający nie zgodzi się na proponowany termin prosimy o informację o jaki maksymalny termin dostawy jest w stanie Zamawiający przedłużyć termin dostawy.</w:t>
      </w:r>
    </w:p>
    <w:p w:rsidR="00E06A0E" w:rsidRPr="00E06A0E" w:rsidRDefault="00E06A0E" w:rsidP="00E06A0E">
      <w:pPr>
        <w:spacing w:after="0" w:line="240" w:lineRule="auto"/>
        <w:jc w:val="both"/>
        <w:rPr>
          <w:sz w:val="20"/>
          <w:szCs w:val="20"/>
        </w:rPr>
      </w:pPr>
      <w:r w:rsidRPr="00E06A0E">
        <w:rPr>
          <w:sz w:val="20"/>
          <w:szCs w:val="20"/>
        </w:rPr>
        <w:t>Naszą prośbę motywujemy opóźnieniami w terminach realizacji zamówień przez producentów, związanych z występującymi globalnie trudnościami w dostępności komponentów i opóźnieniach w łańcuchu dostaw. Jest to pokłosiem trwającej ponad dwa lata epidemii COVID-19.</w:t>
      </w:r>
    </w:p>
    <w:p w:rsidR="00E06A0E" w:rsidRPr="00E06A0E" w:rsidRDefault="00E06A0E" w:rsidP="00E06A0E">
      <w:pPr>
        <w:spacing w:after="0" w:line="240" w:lineRule="auto"/>
        <w:jc w:val="both"/>
        <w:rPr>
          <w:sz w:val="20"/>
          <w:szCs w:val="20"/>
        </w:rPr>
      </w:pPr>
      <w:r w:rsidRPr="00E06A0E">
        <w:rPr>
          <w:sz w:val="20"/>
          <w:szCs w:val="20"/>
        </w:rPr>
        <w:t>Załącznik nr 1 OPZ pakiet nr 4</w:t>
      </w:r>
    </w:p>
    <w:p w:rsidR="001F3D22" w:rsidRPr="00597CD1" w:rsidRDefault="00E06A0E" w:rsidP="00E06A0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E06A0E">
        <w:rPr>
          <w:sz w:val="20"/>
          <w:szCs w:val="20"/>
        </w:rPr>
        <w:t>Czy na potrzeby systemu monitorowania Zamawiający udostępni w ramach posiadanej przez siebie infrastruktury wirtualnej zasoby dla serwera? Wszystkie niezbędne licencje (</w:t>
      </w:r>
      <w:proofErr w:type="spellStart"/>
      <w:r w:rsidRPr="00E06A0E">
        <w:rPr>
          <w:sz w:val="20"/>
          <w:szCs w:val="20"/>
        </w:rPr>
        <w:t>windows</w:t>
      </w:r>
      <w:proofErr w:type="spellEnd"/>
      <w:r w:rsidRPr="00E06A0E">
        <w:rPr>
          <w:sz w:val="20"/>
          <w:szCs w:val="20"/>
        </w:rPr>
        <w:t>, licencja do baz danych) po stronie dostawcy.</w:t>
      </w:r>
    </w:p>
    <w:p w:rsidR="00417C12" w:rsidRDefault="00417C12" w:rsidP="006F5DE4">
      <w:pPr>
        <w:spacing w:after="0" w:line="240" w:lineRule="auto"/>
        <w:jc w:val="both"/>
        <w:rPr>
          <w:rFonts w:asciiTheme="minorHAnsi" w:hAnsiTheme="minorHAnsi" w:cstheme="minorHAnsi"/>
          <w:highlight w:val="cyan"/>
        </w:rPr>
      </w:pPr>
    </w:p>
    <w:p w:rsidR="006F5DE4" w:rsidRDefault="0086066B" w:rsidP="006F5DE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10A63">
        <w:rPr>
          <w:rFonts w:asciiTheme="minorHAnsi" w:hAnsiTheme="minorHAnsi" w:cstheme="minorHAnsi"/>
          <w:highlight w:val="cyan"/>
        </w:rPr>
        <w:t>Odpowiedź</w:t>
      </w:r>
      <w:r w:rsidRPr="00C10A63">
        <w:rPr>
          <w:rFonts w:asciiTheme="minorHAnsi" w:hAnsiTheme="minorHAnsi" w:cstheme="minorHAnsi"/>
        </w:rPr>
        <w:t xml:space="preserve">: </w:t>
      </w:r>
    </w:p>
    <w:p w:rsidR="006F5DE4" w:rsidRPr="006F5DE4" w:rsidRDefault="0086066B" w:rsidP="006F5DE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10A63">
        <w:rPr>
          <w:rFonts w:asciiTheme="minorHAnsi" w:hAnsiTheme="minorHAnsi" w:cstheme="minorHAnsi"/>
          <w:shd w:val="clear" w:color="auto" w:fill="FFFFFF"/>
        </w:rPr>
        <w:t>Zamawiający</w:t>
      </w:r>
      <w:r w:rsidR="00733B2A" w:rsidRPr="00C10A63">
        <w:rPr>
          <w:rFonts w:asciiTheme="minorHAnsi" w:hAnsiTheme="minorHAnsi" w:cstheme="minorHAnsi"/>
          <w:shd w:val="clear" w:color="auto" w:fill="FFFFFF"/>
        </w:rPr>
        <w:t xml:space="preserve"> wyjaś</w:t>
      </w:r>
      <w:r w:rsidR="00BF253C" w:rsidRPr="00C10A63">
        <w:rPr>
          <w:rFonts w:asciiTheme="minorHAnsi" w:hAnsiTheme="minorHAnsi" w:cstheme="minorHAnsi"/>
          <w:shd w:val="clear" w:color="auto" w:fill="FFFFFF"/>
        </w:rPr>
        <w:t>nia:</w:t>
      </w:r>
      <w:r w:rsidR="00733B2A" w:rsidRPr="00C10A63">
        <w:rPr>
          <w:rFonts w:asciiTheme="minorHAnsi" w:hAnsiTheme="minorHAnsi" w:cstheme="minorHAnsi"/>
          <w:shd w:val="clear" w:color="auto" w:fill="FFFFFF"/>
        </w:rPr>
        <w:t xml:space="preserve"> </w:t>
      </w:r>
      <w:r w:rsidR="006F5DE4" w:rsidRPr="006F5DE4">
        <w:rPr>
          <w:rFonts w:asciiTheme="minorHAnsi" w:hAnsiTheme="minorHAnsi" w:cstheme="minorHAnsi"/>
          <w:lang w:eastAsia="pl-PL"/>
        </w:rPr>
        <w:t>Zgodnie z SWZ, Zamawiający wymaga przedłożenia "materiałów zawierających opis techniczny oferowanych wyrobów (np. katalogów, folderów, metodyk, kart technicznych w języku polskim) na podstawie których Zamawiający oceni zgodność parametrów oferowanych sprzętów z opisanymi w załączniku nr 1"</w:t>
      </w:r>
    </w:p>
    <w:p w:rsidR="0086066B" w:rsidRDefault="006F5DE4" w:rsidP="006F5DE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6F5DE4">
        <w:rPr>
          <w:rFonts w:asciiTheme="minorHAnsi" w:hAnsiTheme="minorHAnsi" w:cstheme="minorHAnsi"/>
          <w:lang w:eastAsia="pl-PL"/>
        </w:rPr>
        <w:t>Zamawiający podtrzymuje ten zapis. Wykonawca zobowiązany jest do przedłożenia materiałów, które potwierdzą zgodność parametrów oferowanych sprzętów z opisanymi w załączniku nr 1</w:t>
      </w:r>
      <w:r>
        <w:rPr>
          <w:rFonts w:asciiTheme="minorHAnsi" w:hAnsiTheme="minorHAnsi" w:cstheme="minorHAnsi"/>
          <w:lang w:eastAsia="pl-PL"/>
        </w:rPr>
        <w:t>.</w:t>
      </w:r>
    </w:p>
    <w:p w:rsidR="006F5DE4" w:rsidRDefault="006F5DE4" w:rsidP="006F5DE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Zamawiający pozostawię termin wykonania zamówienia bez zmian.</w:t>
      </w:r>
    </w:p>
    <w:p w:rsidR="006F5DE4" w:rsidRPr="00C10A63" w:rsidRDefault="006F5DE4" w:rsidP="006F5DE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B4504">
        <w:rPr>
          <w:rFonts w:asciiTheme="minorHAnsi" w:hAnsiTheme="minorHAnsi" w:cstheme="minorHAnsi"/>
          <w:lang w:eastAsia="pl-PL"/>
        </w:rPr>
        <w:lastRenderedPageBreak/>
        <w:t>Zamawiający wyjaśnia:</w:t>
      </w:r>
      <w:r w:rsidR="003B4504" w:rsidRPr="003B4504">
        <w:t xml:space="preserve"> </w:t>
      </w:r>
      <w:r w:rsidR="003B4504" w:rsidRPr="003B4504">
        <w:rPr>
          <w:rFonts w:asciiTheme="minorHAnsi" w:hAnsiTheme="minorHAnsi" w:cstheme="minorHAnsi"/>
          <w:lang w:eastAsia="pl-PL"/>
        </w:rPr>
        <w:t>Zamawiający nie udostępni w ramach posiadanej przez siebie infrastruktury</w:t>
      </w:r>
      <w:r w:rsidR="003B4504">
        <w:rPr>
          <w:rFonts w:asciiTheme="minorHAnsi" w:hAnsiTheme="minorHAnsi" w:cstheme="minorHAnsi"/>
          <w:lang w:eastAsia="pl-PL"/>
        </w:rPr>
        <w:t xml:space="preserve"> wirtualnej zasoby</w:t>
      </w:r>
      <w:r w:rsidR="003B4504" w:rsidRPr="003B4504">
        <w:rPr>
          <w:rFonts w:asciiTheme="minorHAnsi" w:hAnsiTheme="minorHAnsi" w:cstheme="minorHAnsi"/>
          <w:lang w:eastAsia="pl-PL"/>
        </w:rPr>
        <w:t xml:space="preserve"> dla serwera</w:t>
      </w:r>
      <w:r w:rsidR="003B4504">
        <w:rPr>
          <w:rFonts w:asciiTheme="minorHAnsi" w:hAnsiTheme="minorHAnsi" w:cstheme="minorHAnsi"/>
          <w:lang w:eastAsia="pl-PL"/>
        </w:rPr>
        <w:t>.</w:t>
      </w:r>
    </w:p>
    <w:p w:rsidR="00417C12" w:rsidRPr="004B5F2B" w:rsidRDefault="00417C12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E47FA" w:rsidRPr="00597CD1" w:rsidRDefault="003E47FA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3:</w:t>
      </w:r>
    </w:p>
    <w:p w:rsidR="00417C12" w:rsidRPr="00417C12" w:rsidRDefault="00417C12" w:rsidP="00417C12">
      <w:p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>Pakiet 1:</w:t>
      </w:r>
    </w:p>
    <w:p w:rsidR="00417C12" w:rsidRPr="00417C12" w:rsidRDefault="00417C12" w:rsidP="00417C12">
      <w:pPr>
        <w:numPr>
          <w:ilvl w:val="0"/>
          <w:numId w:val="20"/>
        </w:num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 xml:space="preserve">Prosimy Zamawiającego o dopuszczenie alternatywnego zestawu w składzie: monitor z jednostką dokumentacji, ekran LCD 10-11 cali, kolorowy, dotykowy, rozdzielczość wyświetlacza HD, zasilanie sieciowe lub z wewnętrznego akumulatora, czas pracy na akumulatorze 3 </w:t>
      </w:r>
      <w:proofErr w:type="spellStart"/>
      <w:r w:rsidRPr="00417C12">
        <w:rPr>
          <w:sz w:val="20"/>
          <w:szCs w:val="20"/>
        </w:rPr>
        <w:t>godz</w:t>
      </w:r>
      <w:proofErr w:type="spellEnd"/>
      <w:r w:rsidRPr="00417C12">
        <w:rPr>
          <w:sz w:val="20"/>
          <w:szCs w:val="20"/>
        </w:rPr>
        <w:t xml:space="preserve">, możliwość zapisywania filmów i zdjęć, wbudowana pamięć minimum 16GB, złącze USB umożliwiające transfer plików do przenośnej pamięci, uruchomienie systemu i gotowość do pracy  po max. 15 sekundach od włączenia, uchwyt umożliwiający zamocowanie monitora na statywie - stojaku (np. do kroplówek), dwa uchwyty do podwieszenia opakowań fiberoskopów oraz dwa typy kompatybilnych z monitorem fiberoskopów jednorazowego użytku do wyboru Zamawiającego: </w:t>
      </w:r>
    </w:p>
    <w:p w:rsidR="00417C12" w:rsidRPr="00417C12" w:rsidRDefault="00417C12" w:rsidP="00417C12">
      <w:p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>1-jednorazowy bronchofiberoskop, posiadający następujące parametry: pole widzenia powyżej 85</w:t>
      </w:r>
      <w:r w:rsidRPr="00417C12">
        <w:rPr>
          <w:sz w:val="20"/>
          <w:szCs w:val="20"/>
          <w:vertAlign w:val="superscript"/>
        </w:rPr>
        <w:t>o</w:t>
      </w:r>
      <w:r w:rsidRPr="00417C12">
        <w:rPr>
          <w:sz w:val="20"/>
          <w:szCs w:val="20"/>
        </w:rPr>
        <w:t>,  głębia ostrości 5-50 mm, wbudowane oświetlenie LED, długość części roboczej 605 mm, z zagięciem końcówki w zakresie góra/dół minimum 200</w:t>
      </w:r>
      <w:r w:rsidRPr="00417C12">
        <w:rPr>
          <w:sz w:val="20"/>
          <w:szCs w:val="20"/>
          <w:vertAlign w:val="superscript"/>
        </w:rPr>
        <w:t>o</w:t>
      </w:r>
      <w:r w:rsidRPr="00417C12">
        <w:rPr>
          <w:sz w:val="20"/>
          <w:szCs w:val="20"/>
        </w:rPr>
        <w:t>, średnica zewnętrzna 3,6 mm z kanałem roboczym o średnicy minimum 1,4 mm z możliwością odsysania przez kanał roboczy. Port ssania umieszczony w osi długiej fiberoskopu, port narzędziowy poniżej uchwytu. Minimalny rozmiar rurki intubacyjnej 5.  Gotowy do użycia bezpośrednio po wyjęciu z opakowania typu blister bez konieczności montowania adapterów lub zastawek.</w:t>
      </w:r>
    </w:p>
    <w:p w:rsidR="00417C12" w:rsidRPr="00417C12" w:rsidRDefault="00417C12" w:rsidP="00417C12">
      <w:p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>2- jednorazowy bronchofiberoskop, posiadający następujące parametry: pole widzenia powyżej 85</w:t>
      </w:r>
      <w:r w:rsidRPr="00417C12">
        <w:rPr>
          <w:sz w:val="20"/>
          <w:szCs w:val="20"/>
          <w:vertAlign w:val="superscript"/>
        </w:rPr>
        <w:t>o</w:t>
      </w:r>
      <w:r w:rsidRPr="00417C12">
        <w:rPr>
          <w:sz w:val="20"/>
          <w:szCs w:val="20"/>
        </w:rPr>
        <w:t>, głębia ostrości 5-50 mm, wbudowane oświetlenie LED, długość części roboczej 605 mm, z zagięciem końcówki w zakresie góra/dół minimum 200</w:t>
      </w:r>
      <w:r w:rsidRPr="00417C12">
        <w:rPr>
          <w:sz w:val="20"/>
          <w:szCs w:val="20"/>
          <w:vertAlign w:val="superscript"/>
        </w:rPr>
        <w:t>o</w:t>
      </w:r>
      <w:r w:rsidRPr="00417C12">
        <w:rPr>
          <w:sz w:val="20"/>
          <w:szCs w:val="20"/>
        </w:rPr>
        <w:t>, średnica zewnętrzna 5,4 mm z kanałem roboczym o średnicy minimum 2,8 mm z możliwością odsysania przez kanał roboczy. Port ssania umieszczony w osi długiej fiberoskopu, port narzędziowy poniżej uchwytu. Minimalny rozmiar rurki intubacyjnej 6 . Gotowy do użycia bezpośrednio po wyjęciu z opakowania typu blister bez konieczności montowania adapterów lub zastawek.</w:t>
      </w:r>
    </w:p>
    <w:p w:rsidR="00417C12" w:rsidRPr="00417C12" w:rsidRDefault="00417C12" w:rsidP="00417C12">
      <w:p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>2.Prosimy Zamawiającego o potwierdzenie czy Zamawiający oczekuje, aby bronchofiberoskopy posiadały kąt zagięcia sekcji giętej części roboczej minimum 200 stopni góra/dół, co przekłada się na łatwość manewrowania w drogach oddechowych?</w:t>
      </w:r>
    </w:p>
    <w:p w:rsidR="00417C12" w:rsidRPr="00417C12" w:rsidRDefault="00417C12" w:rsidP="00417C12">
      <w:p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>3.Czy Zamawiający oczekuje aby zaoferowane bronchofiberoskopy były kompatybilne z monitorem posiadającym amortyzujące uchwyty boczne, które zwiększają wytrzymałość urządzenia poprzez ochronę monitora podczas niezamierzonego upadku?</w:t>
      </w:r>
    </w:p>
    <w:p w:rsidR="00417C12" w:rsidRPr="00417C12" w:rsidRDefault="00417C12" w:rsidP="00417C12">
      <w:p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>4.Prosimy Zamawiającego o wyjaśnienie czy ujście kanału roboczego ma posiadać dużą powierzchnię odsysania min. 9 mm</w:t>
      </w:r>
      <w:r w:rsidRPr="00417C12">
        <w:rPr>
          <w:sz w:val="20"/>
          <w:szCs w:val="20"/>
          <w:vertAlign w:val="superscript"/>
        </w:rPr>
        <w:t>2</w:t>
      </w:r>
      <w:r w:rsidRPr="00417C12">
        <w:rPr>
          <w:sz w:val="20"/>
          <w:szCs w:val="20"/>
        </w:rPr>
        <w:t xml:space="preserve">  ( dla średnicy wziernika 5,4mm) i miało kształt elipsy, co bezpośrednio przekłada się na wyższą wydajność i siłę ssania, a zatem ułatwia wykonanie odsysania wydzieliny z drzewa oskrzelowego i procedury BAL?</w:t>
      </w:r>
    </w:p>
    <w:p w:rsidR="00417C12" w:rsidRPr="00417C12" w:rsidRDefault="00417C12" w:rsidP="00417C12">
      <w:pPr>
        <w:spacing w:after="0" w:line="240" w:lineRule="auto"/>
        <w:jc w:val="both"/>
        <w:rPr>
          <w:sz w:val="20"/>
          <w:szCs w:val="20"/>
        </w:rPr>
      </w:pPr>
      <w:r w:rsidRPr="00417C12">
        <w:rPr>
          <w:sz w:val="20"/>
          <w:szCs w:val="20"/>
        </w:rPr>
        <w:t>5.Prosimy o sprecyzowanie czy Zamawiający oczekuje aby sterylne bronchofiberoskopy były zapakowane w opakowanie typu blister i były gotowe do użycia bezpośrednio po wyjęciu z opakowania bez konieczności montowania adapterów, prowadników i złączy, co ma znaczenie przy stosowaniu w sytuacjach nagłych?</w:t>
      </w:r>
    </w:p>
    <w:p w:rsidR="005F14C9" w:rsidRPr="00597CD1" w:rsidRDefault="005F14C9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F14C9" w:rsidRPr="00597CD1" w:rsidRDefault="005F14C9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417C12">
        <w:rPr>
          <w:rFonts w:asciiTheme="minorHAnsi" w:hAnsiTheme="minorHAnsi" w:cstheme="minorHAnsi"/>
          <w:color w:val="000000" w:themeColor="text1"/>
        </w:rPr>
        <w:t xml:space="preserve">Ad 1-5: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4B5F2B" w:rsidRDefault="004B5F2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041EAF">
        <w:rPr>
          <w:rFonts w:asciiTheme="minorHAnsi" w:eastAsia="Times New Roman" w:hAnsiTheme="minorHAnsi" w:cstheme="minorHAnsi"/>
          <w:color w:val="000000" w:themeColor="text1"/>
          <w:highlight w:val="yellow"/>
        </w:rPr>
        <w:t>06</w:t>
      </w:r>
      <w:r w:rsidR="00716ADB" w:rsidRPr="00CC12EB">
        <w:rPr>
          <w:rFonts w:asciiTheme="minorHAnsi" w:eastAsia="Times New Roman" w:hAnsiTheme="minorHAnsi" w:cstheme="minorHAnsi"/>
          <w:color w:val="000000" w:themeColor="text1"/>
          <w:highlight w:val="yellow"/>
        </w:rPr>
        <w:t>.02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041EAF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06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6E0258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5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7784E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5C3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C97-8E74-4364-A4BD-FCECCBD5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694</TotalTime>
  <Pages>4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466</cp:revision>
  <cp:lastPrinted>2022-02-07T10:21:00Z</cp:lastPrinted>
  <dcterms:created xsi:type="dcterms:W3CDTF">2021-08-09T07:35:00Z</dcterms:created>
  <dcterms:modified xsi:type="dcterms:W3CDTF">2023-01-27T12:42:00Z</dcterms:modified>
</cp:coreProperties>
</file>