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90A64">
        <w:rPr>
          <w:rFonts w:ascii="Verdana" w:hAnsi="Verdana" w:cs="Times New Roman"/>
          <w:b/>
          <w:sz w:val="20"/>
          <w:szCs w:val="20"/>
        </w:rPr>
        <w:t>6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 leków</w:t>
      </w:r>
      <w:r w:rsidR="00290A64">
        <w:rPr>
          <w:rFonts w:ascii="Verdana" w:hAnsi="Verdana" w:cs="Times New Roman"/>
          <w:b/>
          <w:sz w:val="20"/>
          <w:szCs w:val="20"/>
        </w:rPr>
        <w:t xml:space="preserve"> przeciwnowotworowych i stosowanych w leczeniu onkologicznym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ie należy do grupy kapitałowej, o której mowa w art. 108 ust. 1 pkt 5 ustawy Pzp.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r w:rsidRPr="0018686B">
        <w:rPr>
          <w:rFonts w:ascii="Verdana" w:hAnsi="Verdana" w:cs="Times New Roman"/>
          <w:color w:val="000000"/>
          <w:sz w:val="20"/>
          <w:szCs w:val="20"/>
        </w:rPr>
        <w:t>Pzp.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2F1B8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2F1B80" w:rsidRPr="00987333">
      <w:rPr>
        <w:b/>
        <w:sz w:val="14"/>
        <w:szCs w:val="14"/>
      </w:rPr>
      <w:fldChar w:fldCharType="separate"/>
    </w:r>
    <w:r w:rsidR="00B843CF">
      <w:rPr>
        <w:b/>
        <w:noProof/>
        <w:sz w:val="14"/>
        <w:szCs w:val="14"/>
      </w:rPr>
      <w:t>1</w:t>
    </w:r>
    <w:r w:rsidR="002F1B8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2F1B8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2F1B80" w:rsidRPr="00987333">
      <w:rPr>
        <w:sz w:val="14"/>
        <w:szCs w:val="14"/>
      </w:rPr>
      <w:fldChar w:fldCharType="separate"/>
    </w:r>
    <w:r w:rsidR="00B843CF">
      <w:rPr>
        <w:noProof/>
        <w:sz w:val="14"/>
        <w:szCs w:val="14"/>
      </w:rPr>
      <w:t>1</w:t>
    </w:r>
    <w:r w:rsidR="002F1B8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2023-02-01T08:03:00Z</cp:lastPrinted>
  <dcterms:created xsi:type="dcterms:W3CDTF">2023-01-19T07:49:00Z</dcterms:created>
  <dcterms:modified xsi:type="dcterms:W3CDTF">2023-02-01T08:03:00Z</dcterms:modified>
</cp:coreProperties>
</file>