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sz w:val="20"/>
          <w:szCs w:val="20"/>
        </w:rPr>
      </w:pPr>
      <w:r w:rsidRPr="00D554B3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554B3" w:rsidRDefault="00B31E02" w:rsidP="00D554B3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554B3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D554B3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554B3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554B3" w:rsidRDefault="00B31E02" w:rsidP="00D554B3">
      <w:pPr>
        <w:rPr>
          <w:rFonts w:ascii="Verdana" w:hAnsi="Verdana"/>
          <w:color w:val="auto"/>
          <w:sz w:val="20"/>
          <w:szCs w:val="20"/>
        </w:rPr>
      </w:pPr>
    </w:p>
    <w:p w:rsidR="00B31E02" w:rsidRPr="00D554B3" w:rsidRDefault="00B31E02" w:rsidP="00D554B3">
      <w:pPr>
        <w:rPr>
          <w:rFonts w:ascii="Verdana" w:hAnsi="Verdana"/>
          <w:color w:val="auto"/>
          <w:sz w:val="20"/>
          <w:szCs w:val="20"/>
        </w:rPr>
      </w:pPr>
    </w:p>
    <w:p w:rsidR="00434E28" w:rsidRPr="00D554B3" w:rsidRDefault="00434E28" w:rsidP="00D554B3">
      <w:pPr>
        <w:jc w:val="center"/>
        <w:rPr>
          <w:rFonts w:ascii="Verdana" w:hAnsi="Verdana"/>
          <w:b/>
          <w:sz w:val="20"/>
          <w:szCs w:val="20"/>
        </w:rPr>
      </w:pPr>
      <w:r w:rsidRPr="00D554B3">
        <w:rPr>
          <w:rFonts w:ascii="Verdana" w:hAnsi="Verdana"/>
          <w:b/>
          <w:sz w:val="20"/>
          <w:szCs w:val="20"/>
        </w:rPr>
        <w:t>Do</w:t>
      </w:r>
      <w:r w:rsidR="001F21B5">
        <w:rPr>
          <w:rFonts w:ascii="Verdana" w:hAnsi="Verdana"/>
          <w:b/>
          <w:sz w:val="20"/>
          <w:szCs w:val="20"/>
        </w:rPr>
        <w:t xml:space="preserve">stawa </w:t>
      </w:r>
      <w:proofErr w:type="spellStart"/>
      <w:r w:rsidR="001F21B5">
        <w:rPr>
          <w:rFonts w:ascii="Verdana" w:hAnsi="Verdana"/>
          <w:b/>
          <w:sz w:val="20"/>
          <w:szCs w:val="20"/>
        </w:rPr>
        <w:t>staplerów</w:t>
      </w:r>
      <w:proofErr w:type="spellEnd"/>
      <w:r w:rsidR="001F21B5">
        <w:rPr>
          <w:rFonts w:ascii="Verdana" w:hAnsi="Verdana"/>
          <w:b/>
          <w:sz w:val="20"/>
          <w:szCs w:val="20"/>
        </w:rPr>
        <w:t xml:space="preserve"> i ładunków do </w:t>
      </w:r>
      <w:proofErr w:type="spellStart"/>
      <w:r w:rsidR="001F21B5">
        <w:rPr>
          <w:rFonts w:ascii="Verdana" w:hAnsi="Verdana"/>
          <w:b/>
          <w:sz w:val="20"/>
          <w:szCs w:val="20"/>
        </w:rPr>
        <w:t>staplerów</w:t>
      </w:r>
      <w:proofErr w:type="spellEnd"/>
      <w:r w:rsidR="001F21B5">
        <w:rPr>
          <w:rFonts w:ascii="Verdana" w:hAnsi="Verdana"/>
          <w:b/>
          <w:sz w:val="20"/>
          <w:szCs w:val="20"/>
        </w:rPr>
        <w:t>.</w:t>
      </w:r>
    </w:p>
    <w:p w:rsidR="002D0BAF" w:rsidRPr="00D554B3" w:rsidRDefault="002D0BAF" w:rsidP="00D554B3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D554B3" w:rsidRDefault="002038CF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D554B3" w:rsidRDefault="005C13B3" w:rsidP="00D554B3">
      <w:pPr>
        <w:widowControl/>
        <w:suppressAutoHyphens w:val="0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D554B3" w:rsidRDefault="00717274" w:rsidP="00D554B3">
      <w:pPr>
        <w:widowControl/>
        <w:suppressAutoHyphens w:val="0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D554B3" w:rsidRDefault="00C84550" w:rsidP="00D554B3">
      <w:pPr>
        <w:widowControl/>
        <w:suppressAutoHyphens w:val="0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D554B3">
        <w:rPr>
          <w:rFonts w:ascii="Verdana" w:hAnsi="Verdana"/>
          <w:bCs/>
          <w:color w:val="auto"/>
          <w:sz w:val="20"/>
          <w:szCs w:val="20"/>
        </w:rPr>
        <w:t>61 66 54</w:t>
      </w:r>
      <w:r w:rsidRPr="00D554B3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D554B3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D554B3" w:rsidRDefault="00B335FA" w:rsidP="00D554B3">
      <w:pPr>
        <w:widowControl/>
        <w:suppressAutoHyphens w:val="0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D554B3" w:rsidRDefault="002725E6" w:rsidP="00D554B3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  <w:lang w:val="en-US"/>
        </w:rPr>
      </w:pPr>
      <w:r w:rsidRPr="00D554B3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D554B3" w:rsidRDefault="00B335FA" w:rsidP="00D554B3">
      <w:pPr>
        <w:rPr>
          <w:rFonts w:ascii="Verdana" w:hAnsi="Verdana"/>
          <w:color w:val="auto"/>
          <w:sz w:val="20"/>
          <w:szCs w:val="20"/>
          <w:lang w:val="en-US"/>
        </w:rPr>
      </w:pPr>
      <w:r w:rsidRPr="00D554B3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D554B3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D554B3" w:rsidRDefault="005C13B3" w:rsidP="00D554B3">
      <w:pPr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D554B3" w:rsidRDefault="002038CF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D554B3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F4695C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F4695C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z</w:t>
      </w:r>
      <w:r w:rsidR="00F4695C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F4695C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D554B3" w:rsidRDefault="005C13B3" w:rsidP="00D554B3">
      <w:pPr>
        <w:rPr>
          <w:rFonts w:ascii="Verdana" w:hAnsi="Verdana"/>
          <w:color w:val="auto"/>
          <w:sz w:val="20"/>
          <w:szCs w:val="20"/>
        </w:rPr>
      </w:pPr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D554B3" w:rsidRDefault="00B335FA" w:rsidP="00D554B3">
      <w:pPr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D554B3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D554B3" w:rsidRDefault="005C13B3" w:rsidP="00D554B3">
      <w:pPr>
        <w:tabs>
          <w:tab w:val="left" w:pos="0"/>
        </w:tabs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D554B3" w:rsidRDefault="00725B82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D554B3">
        <w:rPr>
          <w:rFonts w:ascii="Verdana" w:hAnsi="Verdana"/>
          <w:color w:val="auto"/>
          <w:sz w:val="20"/>
          <w:szCs w:val="20"/>
        </w:rPr>
        <w:t xml:space="preserve">aniczonego na podstawie </w:t>
      </w:r>
      <w:r w:rsidR="00FB3ACB" w:rsidRPr="00D554B3">
        <w:rPr>
          <w:rFonts w:ascii="Verdana" w:hAnsi="Verdana"/>
          <w:b/>
          <w:color w:val="auto"/>
          <w:sz w:val="20"/>
          <w:szCs w:val="20"/>
        </w:rPr>
        <w:t>art. 132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ustawy z dnia 11 września 2019r. - Prawo zamówień publicznych</w:t>
      </w:r>
      <w:r w:rsidRPr="00D554B3">
        <w:rPr>
          <w:rFonts w:ascii="Verdana" w:hAnsi="Verdana"/>
          <w:color w:val="auto"/>
          <w:sz w:val="20"/>
          <w:szCs w:val="20"/>
        </w:rPr>
        <w:t xml:space="preserve"> zwanej dalej „ustawą”</w:t>
      </w:r>
      <w:r w:rsidR="00954F2D" w:rsidRPr="00D554B3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D554B3">
        <w:rPr>
          <w:rFonts w:ascii="Verdana" w:hAnsi="Verdana"/>
          <w:color w:val="auto"/>
          <w:sz w:val="20"/>
          <w:szCs w:val="20"/>
        </w:rPr>
        <w:t>”</w:t>
      </w:r>
    </w:p>
    <w:p w:rsidR="00954F2D" w:rsidRPr="00D554B3" w:rsidRDefault="00954F2D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D554B3">
        <w:rPr>
          <w:rFonts w:ascii="Verdana" w:hAnsi="Verdana"/>
          <w:b/>
          <w:color w:val="auto"/>
          <w:sz w:val="20"/>
          <w:szCs w:val="20"/>
        </w:rPr>
        <w:t>.</w:t>
      </w:r>
    </w:p>
    <w:p w:rsidR="00434E28" w:rsidRPr="00D554B3" w:rsidRDefault="00725B82" w:rsidP="00D554B3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D554B3" w:rsidRDefault="0099338A" w:rsidP="00D554B3">
      <w:pPr>
        <w:tabs>
          <w:tab w:val="left" w:pos="283"/>
        </w:tabs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D554B3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D554B3" w:rsidRDefault="005C13B3" w:rsidP="00D554B3">
      <w:pPr>
        <w:widowControl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434E28" w:rsidRDefault="0097021C" w:rsidP="00D554B3">
      <w:pPr>
        <w:widowControl/>
        <w:numPr>
          <w:ilvl w:val="0"/>
          <w:numId w:val="31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434E28" w:rsidRPr="00D554B3">
        <w:rPr>
          <w:rFonts w:ascii="Verdana" w:hAnsi="Verdana"/>
          <w:b/>
          <w:sz w:val="20"/>
          <w:szCs w:val="20"/>
        </w:rPr>
        <w:t>D</w:t>
      </w:r>
      <w:r w:rsidR="006C702A">
        <w:rPr>
          <w:rFonts w:ascii="Verdana" w:hAnsi="Verdana"/>
          <w:b/>
          <w:sz w:val="20"/>
          <w:szCs w:val="20"/>
        </w:rPr>
        <w:t xml:space="preserve">ostawa </w:t>
      </w:r>
      <w:proofErr w:type="spellStart"/>
      <w:r w:rsidR="006C702A">
        <w:rPr>
          <w:rFonts w:ascii="Verdana" w:hAnsi="Verdana"/>
          <w:b/>
          <w:sz w:val="20"/>
          <w:szCs w:val="20"/>
        </w:rPr>
        <w:t>staplerów</w:t>
      </w:r>
      <w:proofErr w:type="spellEnd"/>
      <w:r w:rsidR="006C702A">
        <w:rPr>
          <w:rFonts w:ascii="Verdana" w:hAnsi="Verdana"/>
          <w:b/>
          <w:sz w:val="20"/>
          <w:szCs w:val="20"/>
        </w:rPr>
        <w:t xml:space="preserve"> i ładunków do </w:t>
      </w:r>
      <w:proofErr w:type="spellStart"/>
      <w:r w:rsidR="006C702A">
        <w:rPr>
          <w:rFonts w:ascii="Verdana" w:hAnsi="Verdana"/>
          <w:b/>
          <w:sz w:val="20"/>
          <w:szCs w:val="20"/>
        </w:rPr>
        <w:t>staplerów</w:t>
      </w:r>
      <w:proofErr w:type="spellEnd"/>
      <w:r w:rsidR="00434E28" w:rsidRPr="00D554B3">
        <w:rPr>
          <w:rFonts w:ascii="Verdana" w:hAnsi="Verdana"/>
          <w:b/>
          <w:sz w:val="20"/>
          <w:szCs w:val="20"/>
        </w:rPr>
        <w:t xml:space="preserve">. </w:t>
      </w:r>
      <w:r w:rsidR="004B79A0" w:rsidRPr="004B79A0">
        <w:rPr>
          <w:rFonts w:ascii="Verdana" w:hAnsi="Verdana"/>
          <w:sz w:val="20"/>
          <w:szCs w:val="20"/>
        </w:rPr>
        <w:t>Przedmiot zamówienia został podzielony na 2 pakiety.</w:t>
      </w:r>
    </w:p>
    <w:p w:rsidR="004B79A0" w:rsidRPr="004B79A0" w:rsidRDefault="004B79A0" w:rsidP="00D554B3">
      <w:pPr>
        <w:widowControl/>
        <w:numPr>
          <w:ilvl w:val="0"/>
          <w:numId w:val="31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 zamówienia został szczegółowo opisany w załączniku nr 2 do SWZ – opis przedmiotu zamówienia, który jest jednocześnie formularzem cenowym.</w:t>
      </w:r>
    </w:p>
    <w:p w:rsidR="00553D46" w:rsidRPr="00553D46" w:rsidRDefault="00E51ECC" w:rsidP="00D554B3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3D46">
        <w:rPr>
          <w:rFonts w:ascii="Verdana" w:hAnsi="Verdana"/>
          <w:iCs/>
          <w:color w:val="auto"/>
          <w:sz w:val="20"/>
          <w:szCs w:val="20"/>
        </w:rPr>
        <w:t>Zamawiający</w:t>
      </w:r>
      <w:r w:rsidR="00434E28" w:rsidRPr="00553D46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97021C" w:rsidRPr="00553D46">
        <w:rPr>
          <w:rFonts w:ascii="Verdana" w:hAnsi="Verdana"/>
          <w:iCs/>
          <w:color w:val="auto"/>
          <w:sz w:val="20"/>
          <w:szCs w:val="20"/>
        </w:rPr>
        <w:t>dopuszcza możliwości składania ofert częściowych.</w:t>
      </w:r>
      <w:r w:rsidR="00553D46" w:rsidRPr="00553D46">
        <w:rPr>
          <w:rFonts w:ascii="Verdana" w:hAnsi="Verdana"/>
          <w:iCs/>
          <w:color w:val="auto"/>
          <w:sz w:val="20"/>
          <w:szCs w:val="20"/>
        </w:rPr>
        <w:t xml:space="preserve"> Zamówienie zostało podzielone na części. Oferty można składać w odniesieniu do </w:t>
      </w:r>
      <w:r w:rsidR="009B5852">
        <w:rPr>
          <w:rFonts w:ascii="Verdana" w:hAnsi="Verdana"/>
          <w:iCs/>
          <w:color w:val="auto"/>
          <w:sz w:val="20"/>
          <w:szCs w:val="20"/>
        </w:rPr>
        <w:t>jednej lub obu</w:t>
      </w:r>
      <w:r w:rsidR="009B5852" w:rsidRPr="00553D46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553D46" w:rsidRPr="00553D46">
        <w:rPr>
          <w:rFonts w:ascii="Verdana" w:hAnsi="Verdana"/>
          <w:iCs/>
          <w:color w:val="auto"/>
          <w:sz w:val="20"/>
          <w:szCs w:val="20"/>
        </w:rPr>
        <w:t>części.</w:t>
      </w:r>
      <w:r w:rsidRPr="00553D46">
        <w:rPr>
          <w:rFonts w:ascii="Verdana" w:hAnsi="Verdana"/>
          <w:iCs/>
          <w:color w:val="auto"/>
          <w:sz w:val="20"/>
          <w:szCs w:val="20"/>
        </w:rPr>
        <w:t xml:space="preserve"> </w:t>
      </w:r>
    </w:p>
    <w:p w:rsidR="00550F0E" w:rsidRDefault="0097021C" w:rsidP="00550F0E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3D46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53D46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553D46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  <w:r w:rsidR="00550F0E" w:rsidRPr="00550F0E">
        <w:rPr>
          <w:rFonts w:ascii="Verdana" w:eastAsia="Times New Roman" w:hAnsi="Verdana"/>
          <w:sz w:val="20"/>
          <w:szCs w:val="20"/>
        </w:rPr>
        <w:t xml:space="preserve"> 33169000-2</w:t>
      </w:r>
      <w:r w:rsidR="00550F0E">
        <w:rPr>
          <w:rFonts w:ascii="Verdana" w:eastAsia="Times New Roman" w:hAnsi="Verdana"/>
          <w:sz w:val="20"/>
          <w:szCs w:val="20"/>
        </w:rPr>
        <w:t>.</w:t>
      </w:r>
    </w:p>
    <w:p w:rsidR="00550F0E" w:rsidRPr="00550F0E" w:rsidRDefault="00550F0E" w:rsidP="00550F0E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0F0E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550F0E" w:rsidRPr="00550F0E" w:rsidRDefault="00550F0E" w:rsidP="00550F0E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0F0E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550F0E" w:rsidRPr="00550F0E" w:rsidRDefault="00550F0E" w:rsidP="00550F0E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0F0E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550F0E" w:rsidRPr="00550F0E" w:rsidRDefault="00550F0E" w:rsidP="00550F0E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0F0E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50F0E">
        <w:rPr>
          <w:rFonts w:ascii="Verdana" w:hAnsi="Verdana"/>
          <w:sz w:val="20"/>
          <w:szCs w:val="20"/>
        </w:rPr>
        <w:t>Pzp</w:t>
      </w:r>
      <w:proofErr w:type="spellEnd"/>
      <w:r w:rsidRPr="00550F0E">
        <w:rPr>
          <w:rFonts w:ascii="Verdana" w:hAnsi="Verdana"/>
          <w:sz w:val="20"/>
          <w:szCs w:val="20"/>
        </w:rPr>
        <w:t xml:space="preserve">: w przypadku gdy opis przedmiotu zamówienia odnosi się do </w:t>
      </w:r>
      <w:r w:rsidRPr="00550F0E">
        <w:rPr>
          <w:rFonts w:ascii="Verdana" w:hAnsi="Verdana"/>
          <w:sz w:val="20"/>
          <w:szCs w:val="20"/>
        </w:rPr>
        <w:lastRenderedPageBreak/>
        <w:t xml:space="preserve">norm, ocen technicznych, specyfikacji technicznych i systemów referencji technicznych, o których mowa w art. 101 ust. 1 </w:t>
      </w:r>
      <w:proofErr w:type="spellStart"/>
      <w:r w:rsidRPr="00550F0E">
        <w:rPr>
          <w:rFonts w:ascii="Verdana" w:hAnsi="Verdana"/>
          <w:sz w:val="20"/>
          <w:szCs w:val="20"/>
        </w:rPr>
        <w:t>pkt</w:t>
      </w:r>
      <w:proofErr w:type="spellEnd"/>
      <w:r w:rsidRPr="00550F0E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50F0E">
        <w:rPr>
          <w:rFonts w:ascii="Verdana" w:hAnsi="Verdana"/>
          <w:sz w:val="20"/>
          <w:szCs w:val="20"/>
        </w:rPr>
        <w:t>Pzp</w:t>
      </w:r>
      <w:proofErr w:type="spellEnd"/>
      <w:r w:rsidRPr="00550F0E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50F0E">
        <w:rPr>
          <w:rFonts w:ascii="Verdana" w:hAnsi="Verdana"/>
          <w:sz w:val="20"/>
          <w:szCs w:val="20"/>
        </w:rPr>
        <w:t>Pzp</w:t>
      </w:r>
      <w:proofErr w:type="spellEnd"/>
      <w:r w:rsidRPr="00550F0E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550F0E" w:rsidRPr="00550F0E" w:rsidRDefault="00550F0E" w:rsidP="00550F0E">
      <w:pPr>
        <w:numPr>
          <w:ilvl w:val="0"/>
          <w:numId w:val="31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50F0E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50F0E">
        <w:rPr>
          <w:rFonts w:ascii="Verdana" w:hAnsi="Verdana"/>
          <w:sz w:val="20"/>
          <w:szCs w:val="20"/>
        </w:rPr>
        <w:t>Pzp</w:t>
      </w:r>
      <w:proofErr w:type="spellEnd"/>
      <w:r w:rsidRPr="00550F0E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50F0E">
        <w:rPr>
          <w:rFonts w:ascii="Verdana" w:hAnsi="Verdana"/>
          <w:sz w:val="20"/>
          <w:szCs w:val="20"/>
        </w:rPr>
        <w:t>pkt</w:t>
      </w:r>
      <w:proofErr w:type="spellEnd"/>
      <w:r w:rsidRPr="00550F0E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50F0E">
        <w:rPr>
          <w:rFonts w:ascii="Verdana" w:hAnsi="Verdana"/>
          <w:sz w:val="20"/>
          <w:szCs w:val="20"/>
        </w:rPr>
        <w:t>Pzp</w:t>
      </w:r>
      <w:proofErr w:type="spellEnd"/>
      <w:r w:rsidRPr="00550F0E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50F0E">
        <w:rPr>
          <w:rFonts w:ascii="Verdana" w:hAnsi="Verdana"/>
          <w:sz w:val="20"/>
          <w:szCs w:val="20"/>
        </w:rPr>
        <w:t>Pzp</w:t>
      </w:r>
      <w:proofErr w:type="spellEnd"/>
      <w:r w:rsidRPr="00550F0E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50F0E" w:rsidRPr="00F038C6" w:rsidRDefault="00550F0E" w:rsidP="00F038C6">
      <w:pPr>
        <w:jc w:val="both"/>
        <w:rPr>
          <w:rFonts w:ascii="Verdana" w:eastAsia="Times New Roman" w:hAnsi="Verdana"/>
          <w:sz w:val="20"/>
          <w:szCs w:val="20"/>
        </w:rPr>
      </w:pPr>
    </w:p>
    <w:p w:rsidR="00434E28" w:rsidRPr="00D554B3" w:rsidRDefault="00434E28" w:rsidP="00D554B3">
      <w:pPr>
        <w:pStyle w:val="Akapitzlist"/>
        <w:ind w:left="426" w:hanging="426"/>
        <w:jc w:val="both"/>
        <w:rPr>
          <w:rFonts w:ascii="Verdana" w:hAnsi="Verdana"/>
          <w:sz w:val="20"/>
          <w:szCs w:val="20"/>
        </w:rPr>
      </w:pPr>
    </w:p>
    <w:p w:rsidR="00975AD7" w:rsidRPr="00D554B3" w:rsidRDefault="00975AD7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D554B3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7A7167" w:rsidRPr="00D554B3" w:rsidRDefault="00004D56" w:rsidP="00D554B3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D554B3" w:rsidRDefault="007A7167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554B3" w:rsidRDefault="002354DB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D554B3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5"/>
    </w:p>
    <w:p w:rsidR="00605380" w:rsidRPr="00D554B3" w:rsidRDefault="00605380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</w:p>
    <w:p w:rsidR="00D447D9" w:rsidRPr="00D554B3" w:rsidRDefault="00170C5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24 miesiące od dnia podpisania umowy</w:t>
      </w:r>
      <w:r w:rsidR="007566DC" w:rsidRPr="00D554B3">
        <w:rPr>
          <w:rFonts w:ascii="Verdana" w:hAnsi="Verdana"/>
          <w:color w:val="auto"/>
          <w:sz w:val="20"/>
          <w:szCs w:val="20"/>
        </w:rPr>
        <w:t>.</w:t>
      </w:r>
    </w:p>
    <w:p w:rsidR="007910DA" w:rsidRPr="00D554B3" w:rsidRDefault="007910DA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D554B3" w:rsidRDefault="00BA4DF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D554B3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D554B3" w:rsidRDefault="00BA4DF1" w:rsidP="00D554B3">
      <w:pPr>
        <w:tabs>
          <w:tab w:val="left" w:pos="426"/>
        </w:tabs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I.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a)</w:t>
      </w:r>
      <w:r w:rsidRPr="00D554B3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b)</w:t>
      </w:r>
      <w:r w:rsidRPr="00D554B3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c)</w:t>
      </w:r>
      <w:r w:rsidRPr="00D554B3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d)</w:t>
      </w:r>
      <w:r w:rsidRPr="00D554B3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e)</w:t>
      </w:r>
      <w:r w:rsidRPr="00D554B3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f)</w:t>
      </w:r>
      <w:r w:rsidRPr="00D554B3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g)</w:t>
      </w:r>
      <w:r w:rsidRPr="00D554B3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h)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przepisom na terytorium </w:t>
      </w:r>
      <w:r w:rsidRPr="00D554B3">
        <w:rPr>
          <w:rFonts w:ascii="Verdana" w:hAnsi="Verdana"/>
          <w:color w:val="auto"/>
          <w:sz w:val="20"/>
          <w:szCs w:val="20"/>
        </w:rPr>
        <w:lastRenderedPageBreak/>
        <w:t>Rzeczypospolitej Polskiej,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3)</w:t>
      </w:r>
      <w:r w:rsidRPr="00D554B3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4)</w:t>
      </w:r>
      <w:r w:rsidRPr="00D554B3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5)</w:t>
      </w:r>
      <w:r w:rsidRPr="00D554B3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6)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II.</w:t>
      </w:r>
      <w:r w:rsidRPr="00D554B3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”):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;</w:t>
      </w:r>
    </w:p>
    <w:p w:rsidR="00BA4DF1" w:rsidRPr="00D554B3" w:rsidRDefault="00BA4DF1" w:rsidP="00D554B3">
      <w:pPr>
        <w:pStyle w:val="Akapitzlist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3)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</w:t>
      </w:r>
    </w:p>
    <w:p w:rsidR="007A6F2F" w:rsidRPr="00D554B3" w:rsidRDefault="000227A0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D554B3">
        <w:rPr>
          <w:rFonts w:ascii="Verdana" w:hAnsi="Verdana"/>
          <w:color w:val="auto"/>
          <w:sz w:val="20"/>
          <w:szCs w:val="20"/>
        </w:rPr>
        <w:t xml:space="preserve">zakazuje się udzielania lub dalszego wykonywania wszelkich zamówień publicznych lub koncesji objętych zakresem dyrektyw w sprawie zamówień </w:t>
      </w:r>
      <w:proofErr w:type="spellStart"/>
      <w:r w:rsidR="007A6F2F" w:rsidRPr="00D554B3">
        <w:rPr>
          <w:rFonts w:ascii="Verdana" w:hAnsi="Verdana"/>
          <w:color w:val="auto"/>
          <w:sz w:val="20"/>
          <w:szCs w:val="20"/>
        </w:rPr>
        <w:t>publicznychna</w:t>
      </w:r>
      <w:proofErr w:type="spellEnd"/>
      <w:r w:rsidR="007A6F2F" w:rsidRPr="00D554B3">
        <w:rPr>
          <w:rFonts w:ascii="Verdana" w:hAnsi="Verdana"/>
          <w:color w:val="auto"/>
          <w:sz w:val="20"/>
          <w:szCs w:val="20"/>
        </w:rPr>
        <w:t xml:space="preserve"> rzecz lub z udziałem:</w:t>
      </w:r>
    </w:p>
    <w:p w:rsidR="006C1B6A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D554B3" w:rsidRDefault="003E2415" w:rsidP="00D554B3">
      <w:pPr>
        <w:pStyle w:val="Akapitzlist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Pr="00D554B3" w:rsidRDefault="007A6F2F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563D0A" w:rsidRPr="00D554B3" w:rsidRDefault="00563D0A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D554B3" w:rsidRDefault="00452E80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D554B3" w:rsidRDefault="00CA15CA" w:rsidP="00D554B3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D554B3" w:rsidRDefault="00655993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D554B3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D554B3" w:rsidRDefault="00655993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280A41" w:rsidRPr="00D554B3" w:rsidRDefault="00F07D5C" w:rsidP="00D554B3">
      <w:pPr>
        <w:jc w:val="both"/>
        <w:rPr>
          <w:rFonts w:ascii="Verdana" w:hAnsi="Verdana" w:cstheme="minorHAnsi"/>
          <w:color w:val="auto"/>
          <w:sz w:val="20"/>
          <w:szCs w:val="20"/>
        </w:rPr>
      </w:pPr>
      <w:r>
        <w:rPr>
          <w:rFonts w:ascii="Verdana" w:hAnsi="Verdana" w:cstheme="minorHAnsi"/>
          <w:color w:val="auto"/>
          <w:sz w:val="20"/>
          <w:szCs w:val="20"/>
        </w:rPr>
        <w:t>Nie dotyczy.</w:t>
      </w:r>
    </w:p>
    <w:p w:rsidR="00B97FAE" w:rsidRPr="00D554B3" w:rsidRDefault="00B97FAE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D554B3" w:rsidRDefault="005C13B3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D554B3" w:rsidRDefault="00167613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D554B3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D554B3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7E51C8" w:rsidRDefault="007E51C8" w:rsidP="00D554B3">
      <w:pPr>
        <w:ind w:left="426"/>
        <w:jc w:val="both"/>
        <w:rPr>
          <w:rFonts w:ascii="Verdana" w:hAnsi="Verdana"/>
          <w:i/>
          <w:color w:val="auto"/>
          <w:sz w:val="20"/>
          <w:szCs w:val="20"/>
        </w:rPr>
      </w:pPr>
      <w:r w:rsidRPr="007E51C8">
        <w:rPr>
          <w:rFonts w:ascii="Verdana" w:hAnsi="Verdana"/>
          <w:i/>
          <w:color w:val="auto"/>
          <w:sz w:val="20"/>
          <w:szCs w:val="20"/>
        </w:rPr>
        <w:t>Nie dotyczy</w:t>
      </w:r>
    </w:p>
    <w:p w:rsidR="00B97FAE" w:rsidRPr="00D554B3" w:rsidRDefault="00B97FAE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D554B3">
        <w:rPr>
          <w:rFonts w:ascii="Verdana" w:hAnsi="Verdana"/>
          <w:color w:val="auto"/>
          <w:sz w:val="20"/>
          <w:szCs w:val="20"/>
        </w:rPr>
        <w:t>żąda</w:t>
      </w:r>
      <w:r w:rsidRPr="00D554B3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D554B3" w:rsidRDefault="005C5EAB" w:rsidP="00D554B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</w:t>
      </w:r>
    </w:p>
    <w:p w:rsidR="005C5EAB" w:rsidRPr="00D554B3" w:rsidRDefault="005C5EAB" w:rsidP="00D554B3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D554B3" w:rsidRDefault="005C5EAB" w:rsidP="00D554B3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wniosek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o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dopuszczenie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do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udziału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D554B3" w:rsidRDefault="005C5EAB" w:rsidP="00D554B3">
      <w:pPr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D554B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D554B3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D554B3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D554B3" w:rsidRDefault="00B97FAE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D554B3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4</w:t>
      </w: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ustawy</w:t>
      </w:r>
      <w:r w:rsidR="00C07A7B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D554B3" w:rsidRDefault="005C5EAB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D554B3" w:rsidRDefault="005C5EAB" w:rsidP="00D554B3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Pr="00D554B3" w:rsidRDefault="009251F4" w:rsidP="00D554B3">
      <w:pPr>
        <w:ind w:left="993"/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D554B3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D554B3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D554B3">
        <w:rPr>
          <w:rFonts w:ascii="Verdana" w:hAnsi="Verdana"/>
          <w:i/>
          <w:color w:val="auto"/>
          <w:sz w:val="20"/>
          <w:szCs w:val="20"/>
        </w:rPr>
        <w:t>.</w:t>
      </w:r>
    </w:p>
    <w:p w:rsidR="00184B5D" w:rsidRPr="00D554B3" w:rsidRDefault="00B97FAE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D554B3">
        <w:rPr>
          <w:rFonts w:ascii="Verdana" w:hAnsi="Verdana"/>
          <w:color w:val="auto"/>
          <w:sz w:val="20"/>
          <w:szCs w:val="20"/>
        </w:rPr>
        <w:t>:</w:t>
      </w:r>
    </w:p>
    <w:p w:rsidR="005C5EAB" w:rsidRPr="00D554B3" w:rsidRDefault="00184B5D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siedzibęlubmiejscezamieszkania,w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zakresie, o którym mowa w ust. 2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Pr="00D554B3" w:rsidRDefault="00B97FAE" w:rsidP="00D554B3">
      <w:pPr>
        <w:numPr>
          <w:ilvl w:val="1"/>
          <w:numId w:val="9"/>
        </w:numPr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. – składa dokument lub dokumenty wystawione w kraju, w którym wykonawca ma siedzibę lub miejsce zamieszkania, potwierdzające odpowiednio, że nie otwarto jego likwidacji, nie ogłoszono </w:t>
      </w:r>
      <w:r w:rsidRPr="00D554B3">
        <w:rPr>
          <w:rFonts w:ascii="Verdana" w:hAnsi="Verdana"/>
          <w:color w:val="auto"/>
          <w:sz w:val="20"/>
          <w:szCs w:val="20"/>
        </w:rPr>
        <w:lastRenderedPageBreak/>
        <w:t>upadłości, jego aktywami nie zarządza likwidator lub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sąd,</w:t>
      </w:r>
      <w:r w:rsidR="00DF492D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nie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zawarł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zawieszona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ani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nie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znajduje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się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on</w:t>
      </w:r>
      <w:r w:rsidR="00C07A7B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D554B3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D554B3">
        <w:rPr>
          <w:rFonts w:ascii="Verdana" w:hAnsi="Verdana"/>
          <w:color w:val="auto"/>
          <w:sz w:val="20"/>
          <w:szCs w:val="20"/>
        </w:rPr>
        <w:t>procedury</w:t>
      </w:r>
      <w:r w:rsidR="00DF492D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przewidzianej</w:t>
      </w:r>
      <w:r w:rsidR="00DF492D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184B5D" w:rsidRPr="00D554B3" w:rsidRDefault="00184B5D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D554B3">
        <w:rPr>
          <w:rFonts w:ascii="Verdana" w:hAnsi="Verdana"/>
          <w:color w:val="auto"/>
          <w:sz w:val="20"/>
          <w:szCs w:val="20"/>
        </w:rPr>
        <w:t>3.</w:t>
      </w:r>
      <w:r w:rsidRPr="00D554B3">
        <w:rPr>
          <w:rFonts w:ascii="Verdana" w:hAnsi="Verdana"/>
          <w:color w:val="auto"/>
          <w:sz w:val="20"/>
          <w:szCs w:val="20"/>
        </w:rPr>
        <w:t>1</w:t>
      </w:r>
      <w:r w:rsidR="00F2168F" w:rsidRPr="00D554B3">
        <w:rPr>
          <w:rFonts w:ascii="Verdana" w:hAnsi="Verdana"/>
          <w:color w:val="auto"/>
          <w:sz w:val="20"/>
          <w:szCs w:val="20"/>
        </w:rPr>
        <w:t>.</w:t>
      </w:r>
      <w:r w:rsidRPr="00D554B3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D554B3">
        <w:rPr>
          <w:rFonts w:ascii="Verdana" w:hAnsi="Verdana"/>
          <w:color w:val="auto"/>
          <w:sz w:val="20"/>
          <w:szCs w:val="20"/>
        </w:rPr>
        <w:t xml:space="preserve">m </w:t>
      </w:r>
      <w:r w:rsidRPr="00D554B3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D554B3">
        <w:rPr>
          <w:rFonts w:ascii="Verdana" w:hAnsi="Verdana"/>
          <w:color w:val="auto"/>
          <w:sz w:val="20"/>
          <w:szCs w:val="20"/>
        </w:rPr>
        <w:t>3</w:t>
      </w:r>
      <w:r w:rsidRPr="00D554B3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D554B3">
        <w:rPr>
          <w:rFonts w:ascii="Verdana" w:hAnsi="Verdana"/>
          <w:color w:val="auto"/>
          <w:sz w:val="20"/>
          <w:szCs w:val="20"/>
        </w:rPr>
        <w:t>3.</w:t>
      </w:r>
      <w:r w:rsidRPr="00D554B3">
        <w:rPr>
          <w:rFonts w:ascii="Verdana" w:hAnsi="Verdana"/>
          <w:color w:val="auto"/>
          <w:sz w:val="20"/>
          <w:szCs w:val="20"/>
        </w:rPr>
        <w:t>2</w:t>
      </w:r>
      <w:r w:rsidR="00F2168F" w:rsidRPr="00D554B3">
        <w:rPr>
          <w:rFonts w:ascii="Verdana" w:hAnsi="Verdana"/>
          <w:color w:val="auto"/>
          <w:sz w:val="20"/>
          <w:szCs w:val="20"/>
        </w:rPr>
        <w:t>.</w:t>
      </w:r>
      <w:r w:rsidR="00A50B85" w:rsidRPr="00D554B3">
        <w:rPr>
          <w:rFonts w:ascii="Verdana" w:hAnsi="Verdana"/>
          <w:color w:val="auto"/>
          <w:sz w:val="20"/>
          <w:szCs w:val="20"/>
        </w:rPr>
        <w:t xml:space="preserve">powinien </w:t>
      </w:r>
      <w:r w:rsidRPr="00D554B3">
        <w:rPr>
          <w:rFonts w:ascii="Verdana" w:hAnsi="Verdana"/>
          <w:color w:val="auto"/>
          <w:sz w:val="20"/>
          <w:szCs w:val="20"/>
        </w:rPr>
        <w:t>być wystawion</w:t>
      </w:r>
      <w:r w:rsidR="00A50B85" w:rsidRPr="00D554B3">
        <w:rPr>
          <w:rFonts w:ascii="Verdana" w:hAnsi="Verdana"/>
          <w:color w:val="auto"/>
          <w:sz w:val="20"/>
          <w:szCs w:val="20"/>
        </w:rPr>
        <w:t>y</w:t>
      </w:r>
      <w:r w:rsidRPr="00D554B3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D554B3" w:rsidRDefault="00F2168F" w:rsidP="00D554B3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D554B3" w:rsidRDefault="00F127FD" w:rsidP="00D554B3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D554B3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D554B3" w:rsidRDefault="00655993" w:rsidP="00D554B3">
      <w:pPr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D554B3" w:rsidRDefault="00B97FAE" w:rsidP="00D554B3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0" w:name="_Toc64559026"/>
      <w:r w:rsidRPr="00D554B3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D554B3">
        <w:rPr>
          <w:rFonts w:ascii="Verdana" w:hAnsi="Verdana"/>
          <w:color w:val="auto"/>
          <w:spacing w:val="5"/>
          <w:sz w:val="20"/>
          <w:szCs w:val="20"/>
        </w:rPr>
        <w:br/>
      </w:r>
      <w:r w:rsidRPr="00D554B3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D554B3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D554B3" w:rsidRDefault="005C13B3" w:rsidP="00D554B3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D554B3" w:rsidRDefault="00F54D8D" w:rsidP="00D554B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D554B3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D554B3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D554B3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D554B3" w:rsidRDefault="00F54D8D" w:rsidP="00D554B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D554B3" w:rsidRDefault="00F54D8D" w:rsidP="00D554B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554B3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D554B3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D554B3" w:rsidRDefault="00F54D8D" w:rsidP="00D554B3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D554B3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D554B3" w:rsidRDefault="00F54D8D" w:rsidP="00D554B3">
      <w:pPr>
        <w:ind w:left="284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D554B3" w:rsidRDefault="00C50D9B" w:rsidP="00D554B3">
      <w:pPr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54D8D"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D554B3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D554B3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D554B3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D554B3" w:rsidRDefault="00F54D8D" w:rsidP="00D554B3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D554B3" w:rsidRDefault="006D5466" w:rsidP="00D554B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554B3" w:rsidRDefault="0099338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1" w:name="_Toc64559027"/>
      <w:r w:rsidRPr="00D554B3">
        <w:rPr>
          <w:rFonts w:ascii="Verdana" w:hAnsi="Verdana"/>
          <w:color w:val="auto"/>
          <w:spacing w:val="5"/>
          <w:sz w:val="20"/>
          <w:szCs w:val="20"/>
        </w:rPr>
        <w:t xml:space="preserve">Informacje o sposobie komunikowania się Zamawiającego z Wykonawcami w inny </w:t>
      </w:r>
      <w:r w:rsidRPr="00D554B3">
        <w:rPr>
          <w:rFonts w:ascii="Verdana" w:hAnsi="Verdana"/>
          <w:color w:val="auto"/>
          <w:spacing w:val="5"/>
          <w:sz w:val="20"/>
          <w:szCs w:val="20"/>
        </w:rPr>
        <w:lastRenderedPageBreak/>
        <w:t>sposób niż przy użyciu środków komunikacji elektronicznej, w przypadku zaistnienia jednej z sytuacji określonych w art. 65 ust. 1, art. 66 i art. 69</w:t>
      </w:r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1"/>
      <w:proofErr w:type="spellEnd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B477D" w:rsidRPr="00D554B3" w:rsidRDefault="004B477D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D554B3">
        <w:rPr>
          <w:rFonts w:ascii="Verdana" w:hAnsi="Verdana"/>
          <w:color w:val="auto"/>
          <w:sz w:val="20"/>
          <w:szCs w:val="20"/>
        </w:rPr>
        <w:t>XI</w:t>
      </w:r>
      <w:r w:rsidRPr="00D554B3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D554B3" w:rsidRDefault="0065599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99338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8"/>
      <w:r w:rsidRPr="00D554B3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D554B3" w:rsidRDefault="005C13B3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F327C6" w:rsidRPr="00D554B3" w:rsidRDefault="00F327C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A255A2">
        <w:rPr>
          <w:rFonts w:ascii="Verdana" w:hAnsi="Verdana"/>
          <w:color w:val="auto"/>
          <w:sz w:val="20"/>
          <w:szCs w:val="20"/>
        </w:rPr>
        <w:t>Marzena Michalak</w:t>
      </w:r>
      <w:r w:rsidRPr="00D554B3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61 66 54 </w:t>
      </w:r>
      <w:r w:rsidR="007D7744" w:rsidRPr="00D554B3">
        <w:rPr>
          <w:rFonts w:ascii="Verdana" w:hAnsi="Verdana"/>
          <w:color w:val="auto"/>
          <w:sz w:val="20"/>
          <w:szCs w:val="20"/>
        </w:rPr>
        <w:t>255</w:t>
      </w:r>
      <w:r w:rsidRPr="00D554B3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D554B3" w:rsidRDefault="00F327C6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2)</w:t>
      </w:r>
      <w:r w:rsidRPr="00D554B3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004D56" w:rsidRPr="00D554B3">
        <w:rPr>
          <w:rFonts w:ascii="Verdana" w:hAnsi="Verdana"/>
          <w:color w:val="auto"/>
          <w:sz w:val="20"/>
          <w:szCs w:val="20"/>
        </w:rPr>
        <w:t>Teodora Jodko</w:t>
      </w:r>
      <w:r w:rsidR="00A255A2">
        <w:rPr>
          <w:rFonts w:ascii="Verdana" w:hAnsi="Verdana"/>
          <w:color w:val="auto"/>
          <w:sz w:val="20"/>
          <w:szCs w:val="20"/>
        </w:rPr>
        <w:t>, Krystian Pawlak</w:t>
      </w:r>
      <w:r w:rsidRPr="00D554B3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D554B3">
        <w:rPr>
          <w:rFonts w:ascii="Verdana" w:hAnsi="Verdana"/>
          <w:color w:val="auto"/>
          <w:sz w:val="20"/>
          <w:szCs w:val="20"/>
        </w:rPr>
        <w:t> </w:t>
      </w:r>
      <w:r w:rsidR="00004D56" w:rsidRPr="00D554B3">
        <w:rPr>
          <w:rFonts w:ascii="Verdana" w:hAnsi="Verdana"/>
          <w:color w:val="auto"/>
          <w:sz w:val="20"/>
          <w:szCs w:val="20"/>
        </w:rPr>
        <w:t>302</w:t>
      </w:r>
    </w:p>
    <w:p w:rsidR="00D447D9" w:rsidRPr="00D554B3" w:rsidRDefault="00D447D9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9"/>
      <w:r w:rsidRPr="00D554B3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3"/>
    </w:p>
    <w:p w:rsidR="003A3ABA" w:rsidRPr="00D554B3" w:rsidRDefault="003A3ABA" w:rsidP="00D554B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Wykona</w:t>
      </w:r>
      <w:r w:rsidR="0064053B" w:rsidRPr="00D554B3">
        <w:rPr>
          <w:rFonts w:ascii="Verdana" w:hAnsi="Verdana"/>
          <w:b/>
          <w:color w:val="auto"/>
          <w:sz w:val="20"/>
          <w:szCs w:val="20"/>
        </w:rPr>
        <w:t xml:space="preserve">wca jest związany ofertą do </w:t>
      </w:r>
      <w:r w:rsidR="00092889">
        <w:rPr>
          <w:rFonts w:ascii="Verdana" w:hAnsi="Verdana"/>
          <w:b/>
          <w:color w:val="auto"/>
          <w:sz w:val="20"/>
          <w:szCs w:val="20"/>
        </w:rPr>
        <w:t>10.06.</w:t>
      </w:r>
      <w:r w:rsidR="00355501" w:rsidRPr="00D554B3">
        <w:rPr>
          <w:rFonts w:ascii="Verdana" w:hAnsi="Verdana"/>
          <w:b/>
          <w:color w:val="auto"/>
          <w:sz w:val="20"/>
          <w:szCs w:val="20"/>
        </w:rPr>
        <w:t>202</w:t>
      </w:r>
      <w:r w:rsidR="0008796D" w:rsidRPr="00D554B3">
        <w:rPr>
          <w:rFonts w:ascii="Verdana" w:hAnsi="Verdana"/>
          <w:b/>
          <w:color w:val="auto"/>
          <w:sz w:val="20"/>
          <w:szCs w:val="20"/>
        </w:rPr>
        <w:t>3</w:t>
      </w:r>
      <w:r w:rsidR="00355501" w:rsidRPr="00D554B3">
        <w:rPr>
          <w:rFonts w:ascii="Verdana" w:hAnsi="Verdana"/>
          <w:b/>
          <w:color w:val="auto"/>
          <w:sz w:val="20"/>
          <w:szCs w:val="20"/>
        </w:rPr>
        <w:t xml:space="preserve"> r.</w:t>
      </w:r>
    </w:p>
    <w:p w:rsidR="00AC6791" w:rsidRPr="00D554B3" w:rsidRDefault="00AC6791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30"/>
      <w:r w:rsidRPr="00D554B3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4"/>
    </w:p>
    <w:p w:rsidR="001A3D96" w:rsidRPr="00D554B3" w:rsidRDefault="001A3D96" w:rsidP="00D554B3">
      <w:pPr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D554B3" w:rsidRDefault="007910DA" w:rsidP="00D554B3">
      <w:pPr>
        <w:widowControl/>
        <w:numPr>
          <w:ilvl w:val="1"/>
          <w:numId w:val="15"/>
        </w:numPr>
        <w:tabs>
          <w:tab w:val="left" w:pos="-7088"/>
        </w:tabs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554B3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D554B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D554B3" w:rsidRDefault="007910DA" w:rsidP="00D554B3">
      <w:pPr>
        <w:pStyle w:val="Akapitzlist"/>
        <w:numPr>
          <w:ilvl w:val="2"/>
          <w:numId w:val="15"/>
        </w:numPr>
        <w:tabs>
          <w:tab w:val="left" w:pos="-7088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D554B3" w:rsidRDefault="007910DA" w:rsidP="00D554B3">
      <w:pPr>
        <w:tabs>
          <w:tab w:val="left" w:pos="-7088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D554B3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D554B3" w:rsidRDefault="007910DA" w:rsidP="00D554B3">
      <w:pPr>
        <w:tabs>
          <w:tab w:val="left" w:pos="-7088"/>
        </w:tabs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3a</w:t>
      </w:r>
      <w:r w:rsidRPr="00D554B3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D554B3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D554B3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Default="007910DA" w:rsidP="00D554B3">
      <w:pPr>
        <w:widowControl/>
        <w:numPr>
          <w:ilvl w:val="3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D554B3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</w:t>
      </w:r>
    </w:p>
    <w:p w:rsidR="0050388B" w:rsidRPr="0050388B" w:rsidRDefault="0050388B" w:rsidP="0050388B">
      <w:pPr>
        <w:widowControl/>
        <w:numPr>
          <w:ilvl w:val="3"/>
          <w:numId w:val="15"/>
        </w:numPr>
        <w:tabs>
          <w:tab w:val="left" w:pos="426"/>
        </w:tabs>
        <w:suppressAutoHyphens w:val="0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D554B3" w:rsidRDefault="007910DA" w:rsidP="00D554B3">
      <w:pPr>
        <w:widowControl/>
        <w:numPr>
          <w:ilvl w:val="2"/>
          <w:numId w:val="15"/>
        </w:numPr>
        <w:tabs>
          <w:tab w:val="left" w:pos="-7088"/>
        </w:tabs>
        <w:suppressAutoHyphens w:val="0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554B3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D554B3" w:rsidRDefault="007910DA" w:rsidP="00D554B3">
      <w:pPr>
        <w:numPr>
          <w:ilvl w:val="1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127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D554B3" w:rsidRDefault="007910DA" w:rsidP="00D554B3">
      <w:pPr>
        <w:numPr>
          <w:ilvl w:val="2"/>
          <w:numId w:val="15"/>
        </w:numPr>
        <w:tabs>
          <w:tab w:val="left" w:pos="-7088"/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D554B3" w:rsidRDefault="0063434E" w:rsidP="00D554B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857D43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1"/>
      <w:r w:rsidRPr="00D554B3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D554B3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5"/>
    </w:p>
    <w:p w:rsidR="00AF11F8" w:rsidRPr="00D554B3" w:rsidRDefault="00AF11F8" w:rsidP="00D554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dnia </w:t>
      </w:r>
      <w:r w:rsidR="00092889">
        <w:rPr>
          <w:rFonts w:ascii="Verdana" w:eastAsia="Times New Roman" w:hAnsi="Verdana"/>
          <w:b/>
          <w:color w:val="auto"/>
          <w:sz w:val="20"/>
          <w:szCs w:val="20"/>
        </w:rPr>
        <w:t>13.03.</w:t>
      </w:r>
      <w:r w:rsidR="006D5466" w:rsidRPr="00D554B3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8796D" w:rsidRPr="00D554B3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D554B3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D554B3" w:rsidRDefault="00487A74" w:rsidP="00D554B3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554B3" w:rsidRDefault="002A0871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2"/>
      <w:r w:rsidRPr="00D554B3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6"/>
    </w:p>
    <w:p w:rsidR="005C13B3" w:rsidRPr="00D554B3" w:rsidRDefault="005C13B3" w:rsidP="00D554B3">
      <w:pPr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D554B3" w:rsidRDefault="00483E0E" w:rsidP="00D554B3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7D7744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92889">
        <w:rPr>
          <w:rFonts w:ascii="Verdana" w:eastAsia="Times New Roman" w:hAnsi="Verdana"/>
          <w:b/>
          <w:color w:val="auto"/>
          <w:sz w:val="20"/>
          <w:szCs w:val="20"/>
        </w:rPr>
        <w:t>13.03.</w:t>
      </w:r>
      <w:r w:rsidR="0008796D"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2023 </w:t>
      </w:r>
      <w:r w:rsidR="00E71299" w:rsidRPr="00D554B3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D554B3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D554B3" w:rsidRDefault="00857D43" w:rsidP="00D554B3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D554B3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D554B3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D554B3">
        <w:rPr>
          <w:rFonts w:ascii="Verdana" w:hAnsi="Verdana" w:cstheme="minorHAnsi"/>
          <w:color w:val="auto"/>
          <w:sz w:val="20"/>
          <w:szCs w:val="20"/>
        </w:rPr>
        <w:t>)</w:t>
      </w:r>
      <w:r w:rsidRPr="00D554B3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D554B3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D554B3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D554B3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D554B3" w:rsidRDefault="006322E1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3"/>
      <w:r w:rsidRPr="00D554B3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7"/>
    </w:p>
    <w:p w:rsidR="005C13B3" w:rsidRPr="00D554B3" w:rsidRDefault="005C13B3" w:rsidP="00D554B3">
      <w:pPr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lastRenderedPageBreak/>
        <w:t xml:space="preserve">Cena oferty musi zostać obliczona zgodnie z </w:t>
      </w:r>
      <w:r w:rsidRPr="00D554B3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D554B3">
        <w:rPr>
          <w:rFonts w:ascii="Verdana" w:hAnsi="Verdana"/>
          <w:b/>
          <w:sz w:val="20"/>
          <w:szCs w:val="20"/>
        </w:rPr>
        <w:t>2</w:t>
      </w:r>
      <w:r w:rsidRPr="00D554B3">
        <w:rPr>
          <w:rFonts w:ascii="Verdana" w:hAnsi="Verdana"/>
          <w:b/>
          <w:sz w:val="20"/>
          <w:szCs w:val="20"/>
        </w:rPr>
        <w:t>),</w:t>
      </w:r>
      <w:r w:rsidRPr="00D554B3">
        <w:rPr>
          <w:rFonts w:ascii="Verdana" w:hAnsi="Verdana"/>
          <w:sz w:val="20"/>
          <w:szCs w:val="20"/>
        </w:rPr>
        <w:t xml:space="preserve"> a następnie przeniesiona do </w:t>
      </w:r>
      <w:r w:rsidRPr="00D554B3">
        <w:rPr>
          <w:rFonts w:ascii="Verdana" w:hAnsi="Verdana"/>
          <w:b/>
          <w:sz w:val="20"/>
          <w:szCs w:val="20"/>
        </w:rPr>
        <w:t>formu</w:t>
      </w:r>
      <w:r w:rsidR="00393DE5" w:rsidRPr="00D554B3">
        <w:rPr>
          <w:rFonts w:ascii="Verdana" w:hAnsi="Verdana"/>
          <w:b/>
          <w:sz w:val="20"/>
          <w:szCs w:val="20"/>
        </w:rPr>
        <w:t>larza ofertowego (załącznik nr 1</w:t>
      </w:r>
      <w:r w:rsidRPr="00D554B3">
        <w:rPr>
          <w:rFonts w:ascii="Verdana" w:hAnsi="Verdana"/>
          <w:b/>
          <w:sz w:val="20"/>
          <w:szCs w:val="20"/>
        </w:rPr>
        <w:t>).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D554B3" w:rsidRDefault="007910DA" w:rsidP="00D554B3">
      <w:pPr>
        <w:numPr>
          <w:ilvl w:val="2"/>
          <w:numId w:val="13"/>
        </w:numPr>
        <w:tabs>
          <w:tab w:val="clear" w:pos="850"/>
          <w:tab w:val="num" w:pos="-7655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D554B3" w:rsidRDefault="007910DA" w:rsidP="00D554B3">
      <w:pPr>
        <w:numPr>
          <w:ilvl w:val="0"/>
          <w:numId w:val="16"/>
        </w:numPr>
        <w:tabs>
          <w:tab w:val="num" w:pos="-7655"/>
        </w:tabs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D554B3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D554B3" w:rsidRDefault="007910DA" w:rsidP="00D554B3">
      <w:pPr>
        <w:tabs>
          <w:tab w:val="num" w:pos="-7655"/>
        </w:tabs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E04AEB" w:rsidRPr="00EE6D31" w:rsidRDefault="00E04AEB" w:rsidP="00EE6D31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CA15CA" w:rsidP="00D554B3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4"/>
      <w:r w:rsidRPr="00D554B3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F84DC0" w:rsidRPr="00F84DC0" w:rsidRDefault="00F84DC0" w:rsidP="00F84DC0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F84DC0">
        <w:rPr>
          <w:rFonts w:ascii="Verdana" w:hAnsi="Verdana"/>
          <w:bCs/>
          <w:spacing w:val="4"/>
          <w:sz w:val="20"/>
          <w:szCs w:val="20"/>
        </w:rPr>
        <w:t>Zamawiając</w:t>
      </w:r>
      <w:r w:rsidRPr="00F84DC0">
        <w:rPr>
          <w:rFonts w:ascii="Verdana" w:hAnsi="Verdana"/>
          <w:spacing w:val="4"/>
          <w:sz w:val="20"/>
          <w:szCs w:val="20"/>
        </w:rPr>
        <w:t>y</w:t>
      </w:r>
      <w:r w:rsidRPr="00F84DC0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84DC0">
        <w:rPr>
          <w:rFonts w:ascii="Verdana" w:hAnsi="Verdana"/>
          <w:spacing w:val="4"/>
          <w:sz w:val="20"/>
          <w:szCs w:val="20"/>
        </w:rPr>
        <w:t>kryterium:</w:t>
      </w:r>
    </w:p>
    <w:p w:rsidR="00F84DC0" w:rsidRPr="00F84DC0" w:rsidRDefault="00F84DC0" w:rsidP="00F84DC0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F84DC0">
        <w:rPr>
          <w:rFonts w:ascii="Verdana" w:hAnsi="Verdana"/>
          <w:b/>
          <w:spacing w:val="4"/>
          <w:sz w:val="20"/>
          <w:szCs w:val="20"/>
          <w:highlight w:val="yellow"/>
        </w:rPr>
        <w:t>najniższa cena.</w:t>
      </w:r>
    </w:p>
    <w:p w:rsidR="00F84DC0" w:rsidRPr="00F84DC0" w:rsidRDefault="00F84DC0" w:rsidP="00F84DC0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F84DC0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ceną.</w:t>
      </w:r>
    </w:p>
    <w:p w:rsidR="0054445F" w:rsidRPr="00D554B3" w:rsidRDefault="0054445F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937CC0" w:rsidP="00937CC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5"/>
      <w:r>
        <w:rPr>
          <w:rFonts w:ascii="Verdana" w:hAnsi="Verdana"/>
          <w:color w:val="auto"/>
          <w:spacing w:val="5"/>
          <w:sz w:val="20"/>
          <w:szCs w:val="20"/>
        </w:rPr>
        <w:t xml:space="preserve">XX. </w:t>
      </w:r>
      <w:r w:rsidR="00CA15CA" w:rsidRPr="00D554B3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D554B3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="00CA15CA" w:rsidRPr="00D554B3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A37892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="00CA15CA" w:rsidRPr="00D554B3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D554B3" w:rsidRDefault="005C13B3" w:rsidP="00D554B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D554B3" w:rsidRDefault="007D7497" w:rsidP="006E0920">
      <w:pPr>
        <w:numPr>
          <w:ilvl w:val="1"/>
          <w:numId w:val="13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D554B3" w:rsidRDefault="007D7497" w:rsidP="00D554B3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D554B3" w:rsidRDefault="00F330EB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54B3" w:rsidRDefault="00937CC0" w:rsidP="00937CC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0" w:name="_Toc64559036"/>
      <w:r>
        <w:rPr>
          <w:rFonts w:ascii="Verdana" w:hAnsi="Verdana"/>
          <w:color w:val="auto"/>
          <w:spacing w:val="5"/>
          <w:sz w:val="20"/>
          <w:szCs w:val="20"/>
        </w:rPr>
        <w:t xml:space="preserve">XXI. </w:t>
      </w:r>
      <w:r w:rsidR="00B97FAE" w:rsidRPr="00D554B3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D554B3" w:rsidRDefault="005C13B3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D554B3" w:rsidRDefault="00B97FAE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554B3">
        <w:rPr>
          <w:rFonts w:ascii="Verdana" w:hAnsi="Verdana"/>
          <w:color w:val="auto"/>
          <w:sz w:val="20"/>
          <w:szCs w:val="20"/>
        </w:rPr>
        <w:t>w</w:t>
      </w:r>
      <w:r w:rsidR="007D7744" w:rsidRPr="00D554B3">
        <w:rPr>
          <w:rFonts w:ascii="Verdana" w:hAnsi="Verdana"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554B3">
        <w:rPr>
          <w:rFonts w:ascii="Verdana" w:hAnsi="Verdana"/>
          <w:b/>
          <w:color w:val="auto"/>
          <w:sz w:val="20"/>
          <w:szCs w:val="20"/>
        </w:rPr>
        <w:t>u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D554B3">
        <w:rPr>
          <w:rFonts w:ascii="Verdana" w:hAnsi="Verdana"/>
          <w:b/>
          <w:color w:val="auto"/>
          <w:sz w:val="20"/>
          <w:szCs w:val="20"/>
        </w:rPr>
        <w:t>5</w:t>
      </w:r>
      <w:r w:rsidR="00E605CE">
        <w:rPr>
          <w:rFonts w:ascii="Verdana" w:hAnsi="Verdana"/>
          <w:b/>
          <w:color w:val="auto"/>
          <w:sz w:val="20"/>
          <w:szCs w:val="20"/>
        </w:rPr>
        <w:t xml:space="preserve"> i 5a</w:t>
      </w:r>
      <w:r w:rsidR="007D7744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b/>
          <w:color w:val="auto"/>
          <w:sz w:val="20"/>
          <w:szCs w:val="20"/>
        </w:rPr>
        <w:t>do SWZ</w:t>
      </w:r>
      <w:r w:rsidRPr="00D554B3">
        <w:rPr>
          <w:rFonts w:ascii="Verdana" w:hAnsi="Verdana"/>
          <w:color w:val="auto"/>
          <w:sz w:val="20"/>
          <w:szCs w:val="20"/>
        </w:rPr>
        <w:t>.</w:t>
      </w:r>
    </w:p>
    <w:p w:rsidR="00B97FAE" w:rsidRPr="00D554B3" w:rsidRDefault="00B97FAE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D554B3" w:rsidRDefault="00F37310" w:rsidP="00F3731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7"/>
      <w:r>
        <w:rPr>
          <w:rFonts w:ascii="Verdana" w:hAnsi="Verdana"/>
          <w:color w:val="auto"/>
          <w:spacing w:val="5"/>
          <w:sz w:val="20"/>
          <w:szCs w:val="20"/>
        </w:rPr>
        <w:t xml:space="preserve">XXII. </w:t>
      </w:r>
      <w:r w:rsidR="00CA15CA" w:rsidRPr="00D554B3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D554B3" w:rsidRDefault="005C13B3" w:rsidP="00D554B3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niezgodną z przepisami ustawy czynność zamawiającego, podjętą w postępowaniu o </w:t>
      </w:r>
      <w:r w:rsidRPr="00D554B3">
        <w:rPr>
          <w:rFonts w:ascii="Verdana" w:hAnsi="Verdana"/>
          <w:color w:val="auto"/>
          <w:sz w:val="20"/>
          <w:szCs w:val="20"/>
        </w:rPr>
        <w:lastRenderedPageBreak/>
        <w:t>udzielenie zamówienia, o zawarcie umowy ramowej, dynamicznym systemie zakupów, systemie kwalifikowania wykonawców lub konkursie, w tym na projektowane postanowienie umowy;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554B3" w:rsidRDefault="00F565A0" w:rsidP="00D554B3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2" w:name="_Hlk67566200"/>
      <w:r w:rsidRPr="00D554B3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D554B3" w:rsidRDefault="0074511C" w:rsidP="00D554B3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10</w:t>
      </w:r>
      <w:r w:rsidR="00F565A0" w:rsidRPr="00D554B3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D554B3" w:rsidRDefault="00F565A0" w:rsidP="00D554B3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1</w:t>
      </w:r>
      <w:r w:rsidR="0074511C" w:rsidRPr="00D554B3">
        <w:rPr>
          <w:rFonts w:ascii="Verdana" w:hAnsi="Verdana"/>
          <w:color w:val="auto"/>
          <w:sz w:val="20"/>
          <w:szCs w:val="20"/>
        </w:rPr>
        <w:t>5</w:t>
      </w:r>
      <w:r w:rsidRPr="00D554B3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D554B3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54B3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D554B3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D554B3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D554B3">
        <w:rPr>
          <w:rFonts w:ascii="Verdana" w:hAnsi="Verdana"/>
          <w:color w:val="auto"/>
          <w:sz w:val="20"/>
          <w:szCs w:val="20"/>
        </w:rPr>
        <w:t>10</w:t>
      </w:r>
      <w:r w:rsidRPr="00D554B3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Default="00F565A0" w:rsidP="00D554B3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755343" w:rsidRPr="00D554B3" w:rsidRDefault="00755343" w:rsidP="0075534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D554B3" w:rsidRDefault="00755343" w:rsidP="00755343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8"/>
      <w:r>
        <w:rPr>
          <w:rFonts w:ascii="Verdana" w:hAnsi="Verdana"/>
          <w:color w:val="auto"/>
          <w:spacing w:val="5"/>
          <w:sz w:val="20"/>
          <w:szCs w:val="20"/>
        </w:rPr>
        <w:t xml:space="preserve">XXIII. </w:t>
      </w:r>
      <w:r w:rsidR="00D710D4" w:rsidRPr="00D554B3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3"/>
      <w:r w:rsidR="00EC1A9C" w:rsidRPr="00D554B3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D554B3" w:rsidRDefault="00024D24" w:rsidP="00D554B3">
      <w:pPr>
        <w:jc w:val="both"/>
        <w:rPr>
          <w:rFonts w:ascii="Verdana" w:hAnsi="Verdana"/>
          <w:bCs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D554B3" w:rsidRDefault="005C13B3" w:rsidP="00D554B3">
      <w:pPr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D554B3" w:rsidRDefault="00755343" w:rsidP="00755343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9"/>
      <w:r>
        <w:rPr>
          <w:rFonts w:ascii="Verdana" w:hAnsi="Verdana"/>
          <w:color w:val="auto"/>
          <w:spacing w:val="5"/>
          <w:sz w:val="20"/>
          <w:szCs w:val="20"/>
        </w:rPr>
        <w:t xml:space="preserve">XXIV. </w:t>
      </w:r>
      <w:r w:rsidR="00F25E26" w:rsidRPr="00D554B3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D554B3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D554B3" w:rsidRDefault="00A04F82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D554B3" w:rsidRDefault="00373B16" w:rsidP="00D554B3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D554B3" w:rsidRDefault="00755343" w:rsidP="00755343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40"/>
      <w:r>
        <w:rPr>
          <w:rFonts w:ascii="Verdana" w:hAnsi="Verdana"/>
          <w:color w:val="auto"/>
          <w:spacing w:val="5"/>
          <w:sz w:val="20"/>
          <w:szCs w:val="20"/>
        </w:rPr>
        <w:t xml:space="preserve">XXV. </w:t>
      </w:r>
      <w:r w:rsidR="00373B16" w:rsidRPr="00D554B3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="00373B16" w:rsidRPr="00D554B3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="00373B16" w:rsidRPr="00D554B3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373B16" w:rsidRPr="00D554B3">
        <w:rPr>
          <w:rFonts w:ascii="Verdana" w:hAnsi="Verdana"/>
          <w:color w:val="auto"/>
          <w:sz w:val="20"/>
          <w:szCs w:val="20"/>
        </w:rPr>
        <w:t>.</w:t>
      </w:r>
      <w:bookmarkEnd w:id="25"/>
    </w:p>
    <w:p w:rsidR="00655993" w:rsidRPr="00D554B3" w:rsidRDefault="00655993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D554B3" w:rsidRDefault="00B729C0" w:rsidP="00D554B3">
      <w:pPr>
        <w:widowControl/>
        <w:jc w:val="both"/>
        <w:rPr>
          <w:rFonts w:ascii="Verdana" w:hAnsi="Verdana"/>
          <w:b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Zamawiają</w:t>
      </w:r>
      <w:r w:rsidR="00F83604" w:rsidRPr="00D554B3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D554B3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D554B3" w:rsidRDefault="00373B16" w:rsidP="00D554B3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54B3" w:rsidRDefault="00755343" w:rsidP="00755343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Fonts w:ascii="Verdana" w:hAnsi="Verdana"/>
          <w:color w:val="auto"/>
          <w:spacing w:val="5"/>
          <w:sz w:val="20"/>
          <w:szCs w:val="20"/>
        </w:rPr>
      </w:pPr>
      <w:bookmarkStart w:id="26" w:name="_Toc64559041"/>
      <w:r>
        <w:rPr>
          <w:rFonts w:ascii="Verdana" w:hAnsi="Verdana"/>
          <w:color w:val="auto"/>
          <w:spacing w:val="5"/>
          <w:sz w:val="20"/>
          <w:szCs w:val="20"/>
        </w:rPr>
        <w:t xml:space="preserve">XXVI. </w:t>
      </w:r>
      <w:r w:rsidR="00D730D5" w:rsidRPr="00D554B3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6"/>
    </w:p>
    <w:p w:rsidR="00655993" w:rsidRPr="00D554B3" w:rsidRDefault="00655993" w:rsidP="00D554B3">
      <w:pPr>
        <w:widowControl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D554B3" w:rsidRDefault="00D730D5" w:rsidP="00D554B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D554B3" w:rsidRDefault="001608DE" w:rsidP="00D554B3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D554B3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D554B3">
        <w:rPr>
          <w:rFonts w:ascii="Verdana" w:hAnsi="Verdana"/>
          <w:color w:val="auto"/>
          <w:sz w:val="20"/>
          <w:szCs w:val="20"/>
        </w:rPr>
        <w:t>.</w:t>
      </w:r>
    </w:p>
    <w:p w:rsidR="00D730D5" w:rsidRPr="00D554B3" w:rsidRDefault="00D730D5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D554B3" w:rsidRDefault="00105BEF" w:rsidP="00105BEF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Fonts w:ascii="Verdana" w:hAnsi="Verdana"/>
          <w:color w:val="auto"/>
          <w:spacing w:val="5"/>
          <w:sz w:val="20"/>
          <w:szCs w:val="20"/>
        </w:rPr>
      </w:pPr>
      <w:r>
        <w:rPr>
          <w:rFonts w:ascii="Verdana" w:hAnsi="Verdana"/>
          <w:color w:val="auto"/>
          <w:spacing w:val="5"/>
          <w:sz w:val="20"/>
          <w:szCs w:val="20"/>
        </w:rPr>
        <w:t xml:space="preserve">XXVII. </w:t>
      </w:r>
      <w:r w:rsidR="00CF74A9" w:rsidRPr="00D554B3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D554B3" w:rsidRDefault="00CF74A9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D554B3" w:rsidRDefault="00CF74A9" w:rsidP="00D554B3">
      <w:pPr>
        <w:widowControl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D554B3" w:rsidRDefault="00105BEF" w:rsidP="00105BEF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2"/>
      <w:r>
        <w:rPr>
          <w:rFonts w:ascii="Verdana" w:hAnsi="Verdana"/>
          <w:color w:val="auto"/>
          <w:spacing w:val="5"/>
          <w:sz w:val="20"/>
          <w:szCs w:val="20"/>
        </w:rPr>
        <w:t xml:space="preserve">XXVIII. </w:t>
      </w:r>
      <w:r w:rsidR="008E0D65" w:rsidRPr="00D554B3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7"/>
    </w:p>
    <w:p w:rsidR="00655993" w:rsidRPr="00D554B3" w:rsidRDefault="00655993" w:rsidP="00D554B3">
      <w:pPr>
        <w:pStyle w:val="Akapitzlist"/>
        <w:widowControl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D554B3" w:rsidRDefault="00655993" w:rsidP="00D554B3">
      <w:pPr>
        <w:pStyle w:val="Akapitzlist"/>
        <w:widowControl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lastRenderedPageBreak/>
        <w:t>1.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D554B3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Default="00FB3ACB" w:rsidP="00D554B3">
      <w:pPr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D554B3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D554B3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9B365A" w:rsidRPr="009B365A" w:rsidRDefault="009B365A" w:rsidP="009B365A">
      <w:pPr>
        <w:jc w:val="both"/>
        <w:rPr>
          <w:rFonts w:ascii="Verdana" w:hAnsi="Verdana"/>
          <w:color w:val="auto"/>
          <w:sz w:val="20"/>
          <w:szCs w:val="20"/>
        </w:rPr>
      </w:pPr>
      <w:r w:rsidRPr="009B365A">
        <w:rPr>
          <w:rFonts w:ascii="Verdana" w:hAnsi="Verdana"/>
          <w:color w:val="auto"/>
          <w:sz w:val="20"/>
          <w:szCs w:val="20"/>
        </w:rPr>
        <w:t xml:space="preserve">2. Zamawiający </w:t>
      </w:r>
      <w:r w:rsidRPr="009B365A">
        <w:rPr>
          <w:rFonts w:ascii="Verdana" w:hAnsi="Verdana"/>
          <w:b/>
          <w:color w:val="auto"/>
          <w:sz w:val="20"/>
          <w:szCs w:val="20"/>
        </w:rPr>
        <w:t>nie przewiduje</w:t>
      </w:r>
      <w:r w:rsidRPr="009B365A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D554B3" w:rsidRDefault="00FB3ACB" w:rsidP="00D554B3">
      <w:pPr>
        <w:pStyle w:val="Akapitzlist"/>
        <w:numPr>
          <w:ilvl w:val="0"/>
          <w:numId w:val="11"/>
        </w:numPr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 xml:space="preserve">Zamawiający </w:t>
      </w:r>
      <w:r w:rsidRPr="00D554B3">
        <w:rPr>
          <w:rFonts w:ascii="Verdana" w:hAnsi="Verdana"/>
          <w:b/>
          <w:color w:val="auto"/>
          <w:sz w:val="20"/>
          <w:szCs w:val="20"/>
        </w:rPr>
        <w:t>nie przewiduje</w:t>
      </w:r>
      <w:r w:rsidRPr="00D554B3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D554B3" w:rsidRDefault="00F20A26" w:rsidP="00D554B3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D554B3" w:rsidRDefault="00655993" w:rsidP="00D554B3">
      <w:pPr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D554B3" w:rsidRDefault="00F83604" w:rsidP="00D554B3">
      <w:pPr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D554B3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D554B3" w:rsidRDefault="00F83604" w:rsidP="00D554B3">
      <w:pPr>
        <w:tabs>
          <w:tab w:val="left" w:pos="284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D554B3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54B3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D554B3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D554B3" w:rsidRDefault="00F83604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D554B3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D554B3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D554B3" w:rsidRDefault="00F83604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D554B3">
        <w:rPr>
          <w:rFonts w:ascii="Verdana" w:hAnsi="Verdana"/>
          <w:color w:val="auto"/>
          <w:sz w:val="20"/>
          <w:szCs w:val="20"/>
        </w:rPr>
        <w:t>–  JEDZ</w:t>
      </w:r>
      <w:r w:rsidR="00CB526B" w:rsidRPr="00D554B3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D554B3">
        <w:rPr>
          <w:rFonts w:ascii="Verdana" w:hAnsi="Verdana"/>
          <w:color w:val="auto"/>
          <w:sz w:val="20"/>
          <w:szCs w:val="20"/>
        </w:rPr>
        <w:t>;</w:t>
      </w:r>
    </w:p>
    <w:p w:rsidR="0041657B" w:rsidRDefault="0041657B" w:rsidP="00D554B3">
      <w:pPr>
        <w:tabs>
          <w:tab w:val="left" w:pos="284"/>
        </w:tabs>
        <w:jc w:val="both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D554B3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D554B3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D554B3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50388B" w:rsidRPr="0050388B" w:rsidRDefault="0050388B" w:rsidP="0050388B">
      <w:pPr>
        <w:widowControl/>
        <w:tabs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>
        <w:rPr>
          <w:rFonts w:ascii="Verdana" w:eastAsia="Calibri" w:hAnsi="Verdana"/>
          <w:b/>
          <w:bCs/>
          <w:sz w:val="20"/>
          <w:szCs w:val="20"/>
          <w:lang w:eastAsia="ar-SA"/>
        </w:rPr>
        <w:t>Z</w:t>
      </w:r>
      <w:r w:rsidRPr="00B100EC">
        <w:rPr>
          <w:rFonts w:ascii="Verdana" w:eastAsia="Calibri" w:hAnsi="Verdana"/>
          <w:b/>
          <w:bCs/>
          <w:sz w:val="20"/>
          <w:szCs w:val="20"/>
          <w:lang w:eastAsia="ar-SA"/>
        </w:rPr>
        <w:t>ałącznik nr 3</w:t>
      </w:r>
      <w:r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b - 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0388B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50388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F83604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4</w:t>
      </w:r>
      <w:r w:rsidRPr="00D554B3">
        <w:rPr>
          <w:rFonts w:ascii="Verdana" w:hAnsi="Verdana"/>
          <w:color w:val="auto"/>
          <w:sz w:val="20"/>
          <w:szCs w:val="20"/>
        </w:rPr>
        <w:t xml:space="preserve"> – </w:t>
      </w:r>
      <w:r w:rsidRPr="00D554B3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D554B3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5</w:t>
      </w:r>
      <w:r w:rsidR="00280D34">
        <w:rPr>
          <w:rFonts w:ascii="Verdana" w:hAnsi="Verdana"/>
          <w:b/>
          <w:color w:val="auto"/>
          <w:sz w:val="20"/>
          <w:szCs w:val="20"/>
        </w:rPr>
        <w:t xml:space="preserve"> i 5a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D554B3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D554B3" w:rsidRDefault="00F83604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D554B3">
        <w:rPr>
          <w:rFonts w:ascii="Verdana" w:hAnsi="Verdana"/>
          <w:b/>
          <w:color w:val="auto"/>
          <w:sz w:val="20"/>
          <w:szCs w:val="20"/>
        </w:rPr>
        <w:t>n</w:t>
      </w:r>
      <w:r w:rsidRPr="00D554B3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D554B3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D554B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D554B3">
        <w:rPr>
          <w:rFonts w:ascii="Verdana" w:eastAsia="Arial Unicode MS" w:hAnsi="Verdana"/>
          <w:color w:val="auto"/>
          <w:sz w:val="20"/>
          <w:szCs w:val="20"/>
        </w:rPr>
        <w:t>–</w:t>
      </w:r>
      <w:r w:rsidRPr="00D554B3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D554B3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D554B3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D554B3" w:rsidRDefault="00280A41" w:rsidP="00D554B3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54B3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D554B3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D554B3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D554B3" w:rsidRDefault="00280A41" w:rsidP="00D554B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color w:val="auto"/>
          <w:sz w:val="20"/>
          <w:szCs w:val="20"/>
        </w:rPr>
      </w:pPr>
      <w:r w:rsidRPr="00D554B3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D554B3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D554B3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D554B3" w:rsidRDefault="00280A41" w:rsidP="00D554B3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D554B3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D554B3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D554B3" w:rsidRDefault="00CB731A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54B3" w:rsidRDefault="007F4043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Zatwierdzono</w:t>
      </w:r>
      <w:r w:rsidR="00355501" w:rsidRPr="00D554B3">
        <w:rPr>
          <w:rFonts w:ascii="Verdana" w:hAnsi="Verdana"/>
          <w:color w:val="auto"/>
          <w:sz w:val="20"/>
          <w:szCs w:val="20"/>
        </w:rPr>
        <w:t xml:space="preserve">, </w:t>
      </w:r>
      <w:r w:rsidR="00A37892">
        <w:rPr>
          <w:rFonts w:ascii="Verdana" w:hAnsi="Verdana"/>
          <w:color w:val="auto"/>
          <w:sz w:val="20"/>
          <w:szCs w:val="20"/>
        </w:rPr>
        <w:t>02.02</w:t>
      </w:r>
      <w:r w:rsidR="0008796D" w:rsidRPr="00D554B3">
        <w:rPr>
          <w:rFonts w:ascii="Verdana" w:hAnsi="Verdana"/>
          <w:color w:val="auto"/>
          <w:sz w:val="20"/>
          <w:szCs w:val="20"/>
        </w:rPr>
        <w:t>.</w:t>
      </w:r>
      <w:r w:rsidR="00434E28" w:rsidRPr="00D554B3">
        <w:rPr>
          <w:rFonts w:ascii="Verdana" w:hAnsi="Verdana"/>
          <w:color w:val="auto"/>
          <w:sz w:val="20"/>
          <w:szCs w:val="20"/>
        </w:rPr>
        <w:t>2023</w:t>
      </w:r>
      <w:r w:rsidR="00355501" w:rsidRPr="00D554B3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D554B3" w:rsidRDefault="00635724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D554B3" w:rsidRDefault="00655993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D554B3" w:rsidRDefault="00635724" w:rsidP="00D554B3">
      <w:pPr>
        <w:tabs>
          <w:tab w:val="left" w:pos="284"/>
        </w:tabs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D554B3" w:rsidRDefault="00E02948" w:rsidP="00D554B3">
      <w:pPr>
        <w:tabs>
          <w:tab w:val="left" w:pos="284"/>
        </w:tabs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D554B3">
        <w:rPr>
          <w:rFonts w:ascii="Verdana" w:hAnsi="Verdana"/>
          <w:color w:val="auto"/>
          <w:sz w:val="20"/>
          <w:szCs w:val="20"/>
        </w:rPr>
        <w:t>…………………..</w:t>
      </w:r>
      <w:r w:rsidR="007F4043" w:rsidRPr="00D554B3">
        <w:rPr>
          <w:rFonts w:ascii="Verdana" w:hAnsi="Verdana"/>
          <w:color w:val="auto"/>
          <w:sz w:val="20"/>
          <w:szCs w:val="20"/>
        </w:rPr>
        <w:t>.</w:t>
      </w:r>
    </w:p>
    <w:sectPr w:rsidR="007F4043" w:rsidRPr="00D554B3" w:rsidSect="000879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DC0F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4C26B" w16cex:dateUtc="2023-02-01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DC0FB5" w16cid:durableId="2784C26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2D" w:rsidRDefault="00DF492D">
      <w:r>
        <w:separator/>
      </w:r>
    </w:p>
    <w:p w:rsidR="00DF492D" w:rsidRDefault="00DF492D"/>
  </w:endnote>
  <w:endnote w:type="continuationSeparator" w:id="0">
    <w:p w:rsidR="00DF492D" w:rsidRDefault="00DF492D">
      <w:r>
        <w:continuationSeparator/>
      </w:r>
    </w:p>
    <w:p w:rsidR="00DF492D" w:rsidRDefault="00DF492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2D" w:rsidRDefault="00DF492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492D" w:rsidRDefault="00DF492D" w:rsidP="00487F43">
    <w:pPr>
      <w:pStyle w:val="Stopka"/>
      <w:ind w:right="360"/>
    </w:pPr>
  </w:p>
  <w:p w:rsidR="00DF492D" w:rsidRDefault="00DF492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2D" w:rsidRPr="00657C4F" w:rsidRDefault="00DF492D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Pr="00657C4F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noProof/>
        <w:sz w:val="14"/>
        <w:szCs w:val="14"/>
      </w:rPr>
      <w:t>4</w:t>
    </w:r>
    <w:r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Pr="00657C4F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noProof/>
        <w:sz w:val="14"/>
        <w:szCs w:val="14"/>
      </w:rPr>
      <w:t>10</w:t>
    </w:r>
    <w:r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2D" w:rsidRDefault="00DF49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2D" w:rsidRDefault="00DF492D">
      <w:r>
        <w:separator/>
      </w:r>
    </w:p>
    <w:p w:rsidR="00DF492D" w:rsidRDefault="00DF492D"/>
  </w:footnote>
  <w:footnote w:type="continuationSeparator" w:id="0">
    <w:p w:rsidR="00DF492D" w:rsidRDefault="00DF492D">
      <w:r>
        <w:continuationSeparator/>
      </w:r>
    </w:p>
    <w:p w:rsidR="00DF492D" w:rsidRDefault="00DF49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2D" w:rsidRDefault="00DF49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2D" w:rsidRPr="00D447D9" w:rsidRDefault="00DF492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11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DF492D" w:rsidRPr="00015936" w:rsidRDefault="00DF492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2D" w:rsidRPr="00004D56" w:rsidRDefault="00DF492D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1A82453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162AACF6">
      <w:start w:val="20"/>
      <w:numFmt w:val="upperRoman"/>
      <w:lvlText w:val="%6&gt;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6CA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6CB8372A">
      <w:start w:val="2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6AD4B47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6"/>
  </w:num>
  <w:num w:numId="5">
    <w:abstractNumId w:val="66"/>
  </w:num>
  <w:num w:numId="6">
    <w:abstractNumId w:val="60"/>
  </w:num>
  <w:num w:numId="7">
    <w:abstractNumId w:val="67"/>
  </w:num>
  <w:num w:numId="8">
    <w:abstractNumId w:val="54"/>
  </w:num>
  <w:num w:numId="9">
    <w:abstractNumId w:val="64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3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5"/>
  </w:num>
  <w:num w:numId="28">
    <w:abstractNumId w:val="40"/>
  </w:num>
  <w:num w:numId="29">
    <w:abstractNumId w:val="61"/>
  </w:num>
  <w:num w:numId="30">
    <w:abstractNumId w:val="41"/>
  </w:num>
  <w:num w:numId="31">
    <w:abstractNumId w:val="81"/>
  </w:num>
  <w:num w:numId="32">
    <w:abstractNumId w:val="57"/>
  </w:num>
  <w:num w:numId="33">
    <w:abstractNumId w:val="75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3E10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2889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1B39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BEF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17FB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0C56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18B1"/>
    <w:rsid w:val="001827E8"/>
    <w:rsid w:val="001833EC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0F32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21B5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261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0B89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43F1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0D3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12D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87E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46DA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2104C"/>
    <w:rsid w:val="004211DB"/>
    <w:rsid w:val="0042248E"/>
    <w:rsid w:val="004237F8"/>
    <w:rsid w:val="0042412F"/>
    <w:rsid w:val="004247BE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4E28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100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9A0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1689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88B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F0E"/>
    <w:rsid w:val="0055164C"/>
    <w:rsid w:val="00551783"/>
    <w:rsid w:val="00552620"/>
    <w:rsid w:val="00553D46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4B46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122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3EBE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C702A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0920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13B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343"/>
    <w:rsid w:val="00755982"/>
    <w:rsid w:val="00755E4D"/>
    <w:rsid w:val="007566DC"/>
    <w:rsid w:val="007567A0"/>
    <w:rsid w:val="00756BFE"/>
    <w:rsid w:val="00756E55"/>
    <w:rsid w:val="00760877"/>
    <w:rsid w:val="00761D50"/>
    <w:rsid w:val="00761D92"/>
    <w:rsid w:val="007627E1"/>
    <w:rsid w:val="00762B47"/>
    <w:rsid w:val="00763191"/>
    <w:rsid w:val="00763DA5"/>
    <w:rsid w:val="00763F0A"/>
    <w:rsid w:val="00763F23"/>
    <w:rsid w:val="00764C33"/>
    <w:rsid w:val="00764CFC"/>
    <w:rsid w:val="0076512A"/>
    <w:rsid w:val="00765350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10D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4618"/>
    <w:rsid w:val="007E51C8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0A9"/>
    <w:rsid w:val="007F373C"/>
    <w:rsid w:val="007F3FB6"/>
    <w:rsid w:val="007F4043"/>
    <w:rsid w:val="007F42DB"/>
    <w:rsid w:val="007F45D7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14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9BD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9C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0FB"/>
    <w:rsid w:val="00937529"/>
    <w:rsid w:val="00937BB5"/>
    <w:rsid w:val="00937CC0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4D0D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FEC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65A"/>
    <w:rsid w:val="009B3708"/>
    <w:rsid w:val="009B3B32"/>
    <w:rsid w:val="009B3F4F"/>
    <w:rsid w:val="009B5030"/>
    <w:rsid w:val="009B540A"/>
    <w:rsid w:val="009B5852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0F3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5A2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892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69E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742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2305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4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7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1EC0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D9B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3B0E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A4F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4B3"/>
    <w:rsid w:val="00D55505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DD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1FB6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58E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92D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5CE"/>
    <w:rsid w:val="00E60809"/>
    <w:rsid w:val="00E60F26"/>
    <w:rsid w:val="00E62255"/>
    <w:rsid w:val="00E62AD0"/>
    <w:rsid w:val="00E63998"/>
    <w:rsid w:val="00E645A1"/>
    <w:rsid w:val="00E645F1"/>
    <w:rsid w:val="00E652A1"/>
    <w:rsid w:val="00E66205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2AB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6D31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38C6"/>
    <w:rsid w:val="00F048C6"/>
    <w:rsid w:val="00F060E3"/>
    <w:rsid w:val="00F07262"/>
    <w:rsid w:val="00F076BC"/>
    <w:rsid w:val="00F076C1"/>
    <w:rsid w:val="00F07D5C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310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695C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810"/>
    <w:rsid w:val="00F73BC6"/>
    <w:rsid w:val="00F74320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DC0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50C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8" Type="http://schemas.microsoft.com/office/2011/relationships/commentsExtended" Target="commentsExtended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32FC-F2B8-49E3-8957-7FC9FEE6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4511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31516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13</cp:revision>
  <cp:lastPrinted>2023-02-02T10:37:00Z</cp:lastPrinted>
  <dcterms:created xsi:type="dcterms:W3CDTF">2023-02-02T09:34:00Z</dcterms:created>
  <dcterms:modified xsi:type="dcterms:W3CDTF">2023-02-02T12:29:00Z</dcterms:modified>
</cp:coreProperties>
</file>