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B113A">
        <w:rPr>
          <w:rFonts w:ascii="Verdana" w:hAnsi="Verdana"/>
          <w:sz w:val="20"/>
          <w:szCs w:val="20"/>
        </w:rPr>
        <w:t>___2023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0F72EE">
      <w:pPr>
        <w:rPr>
          <w:rFonts w:ascii="Verdana" w:hAnsi="Verdana" w:cs="Arial"/>
          <w:b/>
          <w:sz w:val="20"/>
          <w:szCs w:val="20"/>
        </w:rPr>
      </w:pPr>
    </w:p>
    <w:p w:rsidR="000F72EE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="Verdana" w:hAnsi="Verdana"/>
          <w:sz w:val="20"/>
          <w:szCs w:val="20"/>
        </w:rPr>
      </w:pPr>
      <w:r w:rsidRPr="000F72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0F72EE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F72EE">
        <w:rPr>
          <w:rFonts w:ascii="Verdana" w:hAnsi="Verdana"/>
          <w:sz w:val="20"/>
          <w:szCs w:val="20"/>
        </w:rPr>
        <w:t>Dyrektora –</w:t>
      </w:r>
      <w:r w:rsidR="000F72EE" w:rsidRPr="000F72EE">
        <w:rPr>
          <w:rFonts w:asciiTheme="minorHAnsi" w:hAnsiTheme="minorHAnsi" w:cstheme="minorHAnsi"/>
          <w:color w:val="auto"/>
          <w:sz w:val="24"/>
          <w:szCs w:val="24"/>
        </w:rPr>
        <w:t>dr n med. Macieja Bryla</w:t>
      </w:r>
    </w:p>
    <w:p w:rsidR="00314823" w:rsidRPr="008131CC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</w:p>
    <w:p w:rsidR="00314823" w:rsidRPr="008131CC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4A43FD">
        <w:rPr>
          <w:rFonts w:ascii="Verdana" w:hAnsi="Verdana"/>
          <w:bCs w:val="0"/>
          <w:sz w:val="20"/>
          <w:szCs w:val="20"/>
        </w:rPr>
        <w:t>dostawa</w:t>
      </w:r>
      <w:r w:rsidR="008131CC" w:rsidRPr="004A43FD">
        <w:rPr>
          <w:rFonts w:ascii="Verdana" w:hAnsi="Verdana"/>
          <w:sz w:val="20"/>
          <w:szCs w:val="20"/>
        </w:rPr>
        <w:t xml:space="preserve"> </w:t>
      </w:r>
      <w:r w:rsidR="006C76F8">
        <w:rPr>
          <w:rFonts w:ascii="Verdana" w:hAnsi="Verdana"/>
          <w:sz w:val="20"/>
          <w:szCs w:val="20"/>
        </w:rPr>
        <w:t>antybiotyków, leków ogólnych i wyciągów z jadów owadów błonkoskrzydłych</w:t>
      </w:r>
      <w:r w:rsidR="00084D82">
        <w:rPr>
          <w:rFonts w:ascii="Verdana" w:hAnsi="Verdana"/>
          <w:b w:val="0"/>
          <w:sz w:val="20"/>
          <w:szCs w:val="20"/>
        </w:rPr>
        <w:t>,</w:t>
      </w:r>
      <w:r w:rsidR="00EA1C76">
        <w:rPr>
          <w:rFonts w:ascii="Verdana" w:hAnsi="Verdana"/>
          <w:b w:val="0"/>
          <w:sz w:val="20"/>
          <w:szCs w:val="20"/>
        </w:rPr>
        <w:t xml:space="preserve"> </w:t>
      </w:r>
      <w:r w:rsidRPr="008131CC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8131CC">
        <w:rPr>
          <w:rFonts w:ascii="Verdana" w:hAnsi="Verdana" w:cs="Arial"/>
          <w:sz w:val="20"/>
          <w:szCs w:val="20"/>
        </w:rPr>
        <w:t>.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EB3B8C" w:rsidRPr="008131CC">
        <w:rPr>
          <w:rFonts w:ascii="Verdana" w:hAnsi="Verdana"/>
          <w:color w:val="auto"/>
          <w:sz w:val="20"/>
          <w:szCs w:val="20"/>
        </w:rPr>
        <w:t>w godz.od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8131CC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6C76F8">
        <w:rPr>
          <w:rFonts w:ascii="Verdana" w:hAnsi="Verdana"/>
          <w:b/>
          <w:color w:val="auto"/>
          <w:sz w:val="20"/>
          <w:szCs w:val="20"/>
        </w:rPr>
        <w:t xml:space="preserve">Termin </w:t>
      </w:r>
      <w:r w:rsidR="00B00A37" w:rsidRPr="006C76F8">
        <w:rPr>
          <w:rFonts w:ascii="Verdana" w:hAnsi="Verdana"/>
          <w:b/>
          <w:color w:val="auto"/>
          <w:sz w:val="20"/>
          <w:szCs w:val="20"/>
        </w:rPr>
        <w:t xml:space="preserve">obowiązywania umowy </w:t>
      </w:r>
      <w:r w:rsidRPr="006C76F8">
        <w:rPr>
          <w:rFonts w:ascii="Verdana" w:hAnsi="Verdana"/>
          <w:b/>
          <w:color w:val="auto"/>
          <w:sz w:val="20"/>
          <w:szCs w:val="20"/>
        </w:rPr>
        <w:t>–</w:t>
      </w:r>
      <w:r w:rsidR="00D04778" w:rsidRPr="006C76F8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C76F8">
        <w:rPr>
          <w:rFonts w:ascii="Verdana" w:hAnsi="Verdana"/>
          <w:b/>
          <w:color w:val="auto"/>
          <w:sz w:val="20"/>
          <w:szCs w:val="20"/>
        </w:rPr>
        <w:t>do 3</w:t>
      </w:r>
      <w:r w:rsidR="004B113A" w:rsidRPr="006C76F8">
        <w:rPr>
          <w:rFonts w:ascii="Verdana" w:hAnsi="Verdana"/>
          <w:b/>
          <w:sz w:val="20"/>
          <w:szCs w:val="20"/>
        </w:rPr>
        <w:t xml:space="preserve"> miesi</w:t>
      </w:r>
      <w:r w:rsidR="006C76F8">
        <w:rPr>
          <w:rFonts w:ascii="Verdana" w:hAnsi="Verdana"/>
          <w:b/>
          <w:sz w:val="20"/>
          <w:szCs w:val="20"/>
        </w:rPr>
        <w:t>ę</w:t>
      </w:r>
      <w:r w:rsidR="004B113A" w:rsidRPr="006C76F8">
        <w:rPr>
          <w:rFonts w:ascii="Verdana" w:hAnsi="Verdana"/>
          <w:b/>
          <w:sz w:val="20"/>
          <w:szCs w:val="20"/>
        </w:rPr>
        <w:t>c</w:t>
      </w:r>
      <w:r w:rsidR="006C76F8">
        <w:rPr>
          <w:rFonts w:ascii="Verdana" w:hAnsi="Verdana"/>
          <w:b/>
          <w:sz w:val="20"/>
          <w:szCs w:val="20"/>
        </w:rPr>
        <w:t>y</w:t>
      </w:r>
      <w:r w:rsidR="004B113A" w:rsidRPr="006C76F8">
        <w:rPr>
          <w:rFonts w:ascii="Verdana" w:hAnsi="Verdana"/>
          <w:b/>
          <w:sz w:val="20"/>
          <w:szCs w:val="20"/>
        </w:rPr>
        <w:t xml:space="preserve"> od podpisania umowy</w:t>
      </w:r>
      <w:r w:rsidR="00D04778" w:rsidRPr="006C76F8">
        <w:rPr>
          <w:rFonts w:ascii="Verdana" w:hAnsi="Verdana"/>
          <w:b/>
          <w:sz w:val="20"/>
          <w:szCs w:val="20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6C76F8" w:rsidRPr="006C76F8">
        <w:rPr>
          <w:rFonts w:ascii="Verdana" w:hAnsi="Verdana"/>
          <w:b/>
          <w:color w:val="auto"/>
          <w:sz w:val="20"/>
          <w:szCs w:val="20"/>
        </w:rPr>
        <w:t>2</w:t>
      </w:r>
      <w:r w:rsidR="008131CC" w:rsidRPr="006C76F8">
        <w:rPr>
          <w:rFonts w:ascii="Verdana" w:hAnsi="Verdana"/>
          <w:b/>
          <w:color w:val="auto"/>
          <w:sz w:val="20"/>
          <w:szCs w:val="20"/>
        </w:rPr>
        <w:t>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6C76F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8131CC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>........ zł brutto, zgodnie z załącznikiem nr 1 – 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>wspólnego postępowania 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8131CC">
          <w:rPr>
            <w:rFonts w:ascii="Verdana" w:hAnsi="Verdana" w:cs="Arial"/>
            <w:sz w:val="20"/>
            <w:szCs w:val="20"/>
          </w:rPr>
          <w:t>Kodeksu cywilnego</w:t>
        </w:r>
      </w:smartTag>
      <w:r w:rsidRPr="008131CC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D77" w:rsidRDefault="00352D77">
      <w:r>
        <w:separator/>
      </w:r>
    </w:p>
  </w:endnote>
  <w:endnote w:type="continuationSeparator" w:id="1">
    <w:p w:rsidR="00352D77" w:rsidRDefault="0035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1C1C0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1C1C0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E6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D77" w:rsidRDefault="00352D77">
      <w:r>
        <w:separator/>
      </w:r>
    </w:p>
  </w:footnote>
  <w:footnote w:type="continuationSeparator" w:id="1">
    <w:p w:rsidR="00352D77" w:rsidRDefault="0035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61878">
      <w:rPr>
        <w:rFonts w:ascii="Arial" w:hAnsi="Arial" w:cs="Arial"/>
        <w:sz w:val="18"/>
        <w:szCs w:val="18"/>
      </w:rPr>
      <w:t xml:space="preserve"> </w:t>
    </w:r>
    <w:r w:rsidR="00332E60">
      <w:rPr>
        <w:rFonts w:ascii="Arial" w:hAnsi="Arial" w:cs="Arial"/>
        <w:sz w:val="18"/>
        <w:szCs w:val="18"/>
      </w:rPr>
      <w:t>15</w:t>
    </w:r>
    <w:r w:rsidR="006C76F8">
      <w:rPr>
        <w:rFonts w:ascii="Arial" w:hAnsi="Arial" w:cs="Arial"/>
        <w:sz w:val="18"/>
        <w:szCs w:val="18"/>
      </w:rPr>
      <w:t xml:space="preserve"> </w:t>
    </w:r>
    <w:r w:rsidR="004B113A">
      <w:rPr>
        <w:rFonts w:ascii="Arial" w:hAnsi="Arial" w:cs="Arial"/>
        <w:sz w:val="18"/>
        <w:szCs w:val="18"/>
      </w:rPr>
      <w:t>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C1C04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32E60"/>
    <w:rsid w:val="003420ED"/>
    <w:rsid w:val="00346598"/>
    <w:rsid w:val="00350402"/>
    <w:rsid w:val="00352D77"/>
    <w:rsid w:val="00354468"/>
    <w:rsid w:val="003560B0"/>
    <w:rsid w:val="00370216"/>
    <w:rsid w:val="00375AF4"/>
    <w:rsid w:val="00381522"/>
    <w:rsid w:val="003979F1"/>
    <w:rsid w:val="003B5CD3"/>
    <w:rsid w:val="003C0B4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72DC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C76F8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125D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1341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6</cp:revision>
  <cp:lastPrinted>2023-02-08T07:02:00Z</cp:lastPrinted>
  <dcterms:created xsi:type="dcterms:W3CDTF">2023-01-09T13:20:00Z</dcterms:created>
  <dcterms:modified xsi:type="dcterms:W3CDTF">2023-02-08T07:02:00Z</dcterms:modified>
</cp:coreProperties>
</file>