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E3" w:rsidRDefault="006864E3" w:rsidP="006864E3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 dla osoby przystępującej do konkursu na udzielanie świadczeń zdrowotnych</w:t>
      </w:r>
    </w:p>
    <w:p w:rsidR="006864E3" w:rsidRDefault="006864E3" w:rsidP="006864E3">
      <w:p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  <w:r>
        <w:rPr>
          <w:rFonts w:ascii="Arial" w:hAnsi="Arial" w:cs="Arial"/>
        </w:rPr>
        <w:br/>
      </w:r>
    </w:p>
    <w:p w:rsidR="006864E3" w:rsidRPr="00D774B0" w:rsidRDefault="006864E3" w:rsidP="006864E3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Panią/Pana danych jest dobrowolne, ale konieczne w przebiegu procesu przystąpienia do konkursu na udzielanie świadczeń zdrowotnych.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  <w:r>
        <w:rPr>
          <w:rFonts w:ascii="Arial" w:hAnsi="Arial" w:cs="Arial"/>
        </w:rPr>
        <w:br/>
      </w:r>
    </w:p>
    <w:p w:rsidR="006864E3" w:rsidRDefault="006864E3" w:rsidP="006864E3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61230">
        <w:rPr>
          <w:rFonts w:ascii="Arial" w:hAnsi="Arial" w:cs="Arial"/>
        </w:rPr>
        <w:t>art. 6 ust. 1 lit. a)</w:t>
      </w:r>
      <w:r>
        <w:rPr>
          <w:rFonts w:ascii="Arial" w:hAnsi="Arial" w:cs="Arial"/>
        </w:rPr>
        <w:t xml:space="preserve"> ogólnego Rozporządzenia o ochronie danych osobowych zwanym dalej</w:t>
      </w:r>
      <w:r w:rsidRPr="00B61230">
        <w:rPr>
          <w:rFonts w:ascii="Arial" w:hAnsi="Arial" w:cs="Arial"/>
        </w:rPr>
        <w:t xml:space="preserve"> RODO</w:t>
      </w:r>
      <w:r>
        <w:rPr>
          <w:rFonts w:ascii="Arial" w:hAnsi="Arial" w:cs="Arial"/>
        </w:rPr>
        <w:t xml:space="preserve"> w celu realizacji procesu przystąpienia do konkursu na udzielanie świadczeń zdrowotnych ogłoszonego zgodnie z Ustawą z dnia 15 kwietnia 2011 r. o działalności leczniczej oraz Ustawy z dnia 27 sierpnia 2004 r. o świadczeniach opieki zdrowotnej finansowanych ze środków publicznych w zakresie określonym w art. 26 ust. 4 o działalności leczniczej.</w:t>
      </w:r>
    </w:p>
    <w:p w:rsidR="006864E3" w:rsidRDefault="006864E3" w:rsidP="006864E3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</w:t>
      </w:r>
      <w:r>
        <w:rPr>
          <w:rFonts w:ascii="Arial" w:hAnsi="Arial" w:cs="Arial"/>
        </w:rPr>
        <w:t>nia należącego do Administratora,</w:t>
      </w:r>
      <w:r w:rsidRPr="00BB1769">
        <w:rPr>
          <w:rFonts w:ascii="Arial" w:hAnsi="Arial" w:cs="Arial"/>
        </w:rPr>
        <w:t xml:space="preserve"> a t</w:t>
      </w:r>
      <w:r>
        <w:rPr>
          <w:rFonts w:ascii="Arial" w:hAnsi="Arial" w:cs="Arial"/>
        </w:rPr>
        <w:t>akże zapewnienia bezpieczeństwa</w:t>
      </w:r>
      <w:r w:rsidRPr="00BB1769">
        <w:rPr>
          <w:rFonts w:ascii="Arial" w:hAnsi="Arial" w:cs="Arial"/>
        </w:rPr>
        <w:t xml:space="preserve"> 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6864E3" w:rsidRPr="00200333" w:rsidRDefault="006864E3" w:rsidP="006864E3">
      <w:pPr>
        <w:pStyle w:val="Akapitzlist"/>
        <w:ind w:left="1440"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przetwarzane w zakresie danych osobowych takich jak: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nazwisko i imię (imiona),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pełna nazwa i adres praktyki lekarskiej,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i miejsce urodzenia, </w:t>
      </w:r>
    </w:p>
    <w:p w:rsidR="006864E3" w:rsidRPr="004F5E6D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dane z dowodu osobistego (w tym numer PESEL, płeć, obywatelstwo, nr </w:t>
      </w:r>
      <w:r>
        <w:rPr>
          <w:rFonts w:ascii="Arial" w:hAnsi="Arial" w:cs="Arial"/>
        </w:rPr>
        <w:br/>
        <w:t xml:space="preserve">i seria dowodu osobistego, </w:t>
      </w:r>
      <w:r w:rsidRPr="004F5E6D">
        <w:rPr>
          <w:rFonts w:ascii="Arial" w:hAnsi="Arial" w:cs="Arial"/>
        </w:rPr>
        <w:t xml:space="preserve">data wydania, termin ważności, nazwa organu wydającego),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zamieszkania/zameldowania (do korespondencji),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o wpisie do ewidencji działalności gospodarczej,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REGON,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o zajęciach,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niezbędne dla przekazywanie wynagrodzenia na konto bankowe (w tym proponowana kwota należności w systemie ryczałtowym i/lub zdaniowym, stawka za punkt i skala punktowa w zależności od rodzaju świadczenia,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ewentualna kalkulacja innych składników należności (np. dyżury),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banku, nr konta,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pracy zawodowej i informacje z dokumentów aplikacyjnych jak CV,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kwalifikacje zawodowe (w tym dyplom lekarza, prawo do wykonywania zawodu, </w:t>
      </w:r>
      <w:r w:rsidRPr="001E608A">
        <w:rPr>
          <w:rFonts w:ascii="Arial" w:hAnsi="Arial" w:cs="Arial"/>
        </w:rPr>
        <w:t xml:space="preserve">dyplomy specjalizacji, doktoratu, certyfikaty itp.),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dane niezbędne do wykonania analiz wynagrodzeń oraz sprawozdawczości w zakresie realizowanej umowy,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dokumentów rejestracyjnych oferenta (zaświadczenie z Okręgowych Izb Lekarskich o wpisie do rejestru podmiotów wykonujących działalność leczniczą wraz z księgą rejestrową),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polisy ubezpieczeniowej od odpowiedzialności cywilnej,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zaświadczenia lekarskiego o zdolności do pracy,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podpis,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adres poczty elektronicznej,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numer telefonu, </w:t>
      </w:r>
    </w:p>
    <w:p w:rsidR="006864E3" w:rsidRPr="001E608A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inne informacje lub dane, w zakresie niezbędnym do wykonania obowiązku związanego ze złożeniem oferty oraz zawarciem umowy,                               w szczególności, jeżeli obowiązek ich podania wynika z przepisów prawa.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Pr="0020033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 przez okres 5 lat </w:t>
      </w:r>
      <w:r>
        <w:rPr>
          <w:rFonts w:ascii="Arial" w:hAnsi="Arial" w:cs="Arial"/>
        </w:rPr>
        <w:br/>
        <w:t xml:space="preserve">w procesie przystąpienia do konkursu na udzielanie świadczeń zdrowotnych, </w:t>
      </w:r>
      <w:r>
        <w:rPr>
          <w:rFonts w:ascii="Arial" w:hAnsi="Arial" w:cs="Arial"/>
        </w:rPr>
        <w:br/>
        <w:t xml:space="preserve">z wyłączeniem monitoringu wizyjnego, o którym mowa w punkcie 10 klauzuli.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 Dodatkowo w przypadku wygrania konkursu dane dotyczące: imienia, </w:t>
      </w:r>
      <w:r>
        <w:rPr>
          <w:rFonts w:ascii="Arial" w:hAnsi="Arial" w:cs="Arial"/>
        </w:rPr>
        <w:lastRenderedPageBreak/>
        <w:t xml:space="preserve">nazwiska, adresu oraz pełnej nazwy i adresu praktyki lekarskiej będą umieszczone na tablicy ogłoszeń lub zgodnie z przepisami Ustawy z dnia 27 sierpnia 2004 r. </w:t>
      </w:r>
      <w:r>
        <w:rPr>
          <w:rFonts w:ascii="Arial" w:hAnsi="Arial" w:cs="Arial"/>
        </w:rPr>
        <w:br/>
        <w:t xml:space="preserve">o świadczeniach opieki zdrowotnej finansowanych ze środków publicznych.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6864E3" w:rsidRPr="00A37364" w:rsidRDefault="006864E3" w:rsidP="006864E3">
      <w:pPr>
        <w:pStyle w:val="Akapitzlist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6864E3" w:rsidRDefault="006864E3" w:rsidP="006864E3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6864E3" w:rsidRPr="0020033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6864E3" w:rsidRDefault="006864E3" w:rsidP="006864E3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6864E3" w:rsidRDefault="006864E3" w:rsidP="006864E3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w tym profilowaniu. </w:t>
      </w:r>
    </w:p>
    <w:p w:rsidR="006864E3" w:rsidRDefault="006864E3" w:rsidP="006864E3">
      <w:bookmarkStart w:id="0" w:name="_GoBack"/>
      <w:bookmarkEnd w:id="0"/>
    </w:p>
    <w:p w:rsidR="00E57158" w:rsidRPr="006864E3" w:rsidRDefault="007E0D8B" w:rsidP="006864E3"/>
    <w:sectPr w:rsidR="00E57158" w:rsidRPr="006864E3" w:rsidSect="00DA25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F2" w:rsidRDefault="00B00DF2" w:rsidP="00B434D9">
      <w:pPr>
        <w:spacing w:after="0" w:line="240" w:lineRule="auto"/>
      </w:pPr>
      <w:r>
        <w:separator/>
      </w:r>
    </w:p>
  </w:endnote>
  <w:endnote w:type="continuationSeparator" w:id="1">
    <w:p w:rsidR="00B00DF2" w:rsidRDefault="00B00DF2" w:rsidP="00B4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F2" w:rsidRDefault="00B00DF2" w:rsidP="00B434D9">
      <w:pPr>
        <w:spacing w:after="0" w:line="240" w:lineRule="auto"/>
      </w:pPr>
      <w:r>
        <w:separator/>
      </w:r>
    </w:p>
  </w:footnote>
  <w:footnote w:type="continuationSeparator" w:id="1">
    <w:p w:rsidR="00B00DF2" w:rsidRDefault="00B00DF2" w:rsidP="00B4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B434D9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70.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6931927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D50463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B434D9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P005/01</w:t>
          </w:r>
        </w:p>
      </w:tc>
    </w:tr>
    <w:tr w:rsidR="00B434D9" w:rsidTr="00D50463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17.12.2021</w:t>
          </w:r>
        </w:p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06.07.2018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4394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4394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E0D8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D4394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E0D8B" w:rsidRPr="007E0D8B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B434D9" w:rsidTr="00D50463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2.2</w:t>
          </w:r>
        </w:p>
      </w:tc>
    </w:tr>
  </w:tbl>
  <w:p w:rsidR="00B434D9" w:rsidRDefault="00B434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FC82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14EE3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F87752"/>
    <w:multiLevelType w:val="hybridMultilevel"/>
    <w:tmpl w:val="CF8A5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Piotrowska-Musioł">
    <w15:presenceInfo w15:providerId="AD" w15:userId="S::anna.piotrowska@wil.org.pl::68a357cc-b29e-4b09-9ba0-433cdc63fa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434D9"/>
    <w:rsid w:val="00441C49"/>
    <w:rsid w:val="005E2022"/>
    <w:rsid w:val="006864E3"/>
    <w:rsid w:val="006F512C"/>
    <w:rsid w:val="007E0D8B"/>
    <w:rsid w:val="008A7710"/>
    <w:rsid w:val="00967982"/>
    <w:rsid w:val="00A67C5A"/>
    <w:rsid w:val="00B00DF2"/>
    <w:rsid w:val="00B434D9"/>
    <w:rsid w:val="00BE1A7A"/>
    <w:rsid w:val="00D4394A"/>
    <w:rsid w:val="00DA250D"/>
    <w:rsid w:val="00E12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D9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434D9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4D9"/>
  </w:style>
  <w:style w:type="paragraph" w:styleId="Stopka">
    <w:name w:val="footer"/>
    <w:basedOn w:val="Normalny"/>
    <w:link w:val="Stopka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4D9"/>
  </w:style>
  <w:style w:type="character" w:customStyle="1" w:styleId="Nagwek8Znak">
    <w:name w:val="Nagłówek 8 Znak"/>
    <w:basedOn w:val="Domylnaczcionkaakapitu"/>
    <w:link w:val="Nagwek8"/>
    <w:uiPriority w:val="9"/>
    <w:rsid w:val="00B434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3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4D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67C5A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98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asewastynowicz</cp:lastModifiedBy>
  <cp:revision>6</cp:revision>
  <cp:lastPrinted>2023-02-03T11:19:00Z</cp:lastPrinted>
  <dcterms:created xsi:type="dcterms:W3CDTF">2022-01-24T08:30:00Z</dcterms:created>
  <dcterms:modified xsi:type="dcterms:W3CDTF">2023-02-03T11:19:00Z</dcterms:modified>
</cp:coreProperties>
</file>