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62" w:rsidRPr="007F09D3" w:rsidRDefault="002B5EF1" w:rsidP="007F09D3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NOWY </w:t>
      </w:r>
      <w:r w:rsidR="00176484" w:rsidRPr="007F09D3">
        <w:rPr>
          <w:rFonts w:ascii="Verdana" w:hAnsi="Verdana" w:cs="Arial"/>
        </w:rPr>
        <w:t>Załącznik nr 1 – opis przedmiotu zamówienia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7435"/>
        <w:gridCol w:w="1483"/>
      </w:tblGrid>
      <w:tr w:rsidR="00213CBA" w:rsidRPr="007F09D3" w:rsidTr="00213065">
        <w:trPr>
          <w:trHeight w:val="489"/>
        </w:trPr>
        <w:tc>
          <w:tcPr>
            <w:tcW w:w="715" w:type="dxa"/>
            <w:shd w:val="clear" w:color="000000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000000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Parametry</w:t>
            </w:r>
          </w:p>
        </w:tc>
        <w:tc>
          <w:tcPr>
            <w:tcW w:w="1483" w:type="dxa"/>
            <w:shd w:val="clear" w:color="000000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Wartość wymagana</w:t>
            </w:r>
          </w:p>
        </w:tc>
      </w:tr>
      <w:tr w:rsidR="00213CBA" w:rsidRPr="007F09D3" w:rsidTr="00213065">
        <w:trPr>
          <w:trHeight w:val="553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7435" w:type="dxa"/>
            <w:shd w:val="clear" w:color="auto" w:fill="auto"/>
            <w:noWrap/>
            <w:hideMark/>
          </w:tcPr>
          <w:p w:rsidR="00213CBA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/>
                <w:b/>
                <w:bCs/>
              </w:rPr>
              <w:t xml:space="preserve">Pakiet 1: System do sekwencjonowania </w:t>
            </w:r>
            <w:r w:rsidR="0062376B" w:rsidRPr="007F09D3">
              <w:rPr>
                <w:rFonts w:ascii="Verdana" w:eastAsia="Times New Roman" w:hAnsi="Verdana"/>
                <w:b/>
              </w:rPr>
              <w:t>N</w:t>
            </w:r>
            <w:r w:rsidRPr="007F09D3">
              <w:rPr>
                <w:rFonts w:ascii="Verdana" w:eastAsia="Times New Roman" w:hAnsi="Verdana"/>
                <w:b/>
              </w:rPr>
              <w:t xml:space="preserve">astępnej </w:t>
            </w:r>
            <w:r w:rsidR="0062376B" w:rsidRPr="007F09D3">
              <w:rPr>
                <w:rFonts w:ascii="Verdana" w:eastAsia="Times New Roman" w:hAnsi="Verdana"/>
                <w:b/>
              </w:rPr>
              <w:t>G</w:t>
            </w:r>
            <w:r w:rsidRPr="007F09D3">
              <w:rPr>
                <w:rFonts w:ascii="Verdana" w:eastAsia="Times New Roman" w:hAnsi="Verdana"/>
                <w:b/>
              </w:rPr>
              <w:t xml:space="preserve">eneracji </w:t>
            </w:r>
            <w:r w:rsidRPr="007F09D3">
              <w:rPr>
                <w:rFonts w:ascii="Verdana" w:eastAsia="Times New Roman" w:hAnsi="Verdana"/>
                <w:b/>
                <w:bCs/>
              </w:rPr>
              <w:t xml:space="preserve">NGS oraz </w:t>
            </w:r>
            <w:r w:rsidRPr="007F09D3">
              <w:rPr>
                <w:rFonts w:ascii="Verdana" w:eastAsia="Times New Roman" w:hAnsi="Verdana"/>
                <w:b/>
              </w:rPr>
              <w:t>aparat do automatycznej izolacji kwasów nukleinowych</w:t>
            </w:r>
          </w:p>
        </w:tc>
        <w:tc>
          <w:tcPr>
            <w:tcW w:w="1483" w:type="dxa"/>
            <w:shd w:val="clear" w:color="auto" w:fill="auto"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314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ind w:left="360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hideMark/>
          </w:tcPr>
          <w:p w:rsidR="00213CBA" w:rsidRPr="007F09D3" w:rsidRDefault="00213CBA" w:rsidP="007F09D3">
            <w:pPr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1</w:t>
            </w:r>
          </w:p>
        </w:tc>
        <w:tc>
          <w:tcPr>
            <w:tcW w:w="1483" w:type="dxa"/>
            <w:shd w:val="clear" w:color="auto" w:fill="FDE9D9" w:themeFill="accent6" w:themeFillTint="33"/>
            <w:hideMark/>
          </w:tcPr>
          <w:p w:rsidR="00213CBA" w:rsidRPr="007F09D3" w:rsidRDefault="00213CBA" w:rsidP="007F09D3">
            <w:pPr>
              <w:spacing w:after="0" w:line="240" w:lineRule="auto"/>
              <w:ind w:left="360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85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System do sekwencjonowania Następnej Generacji NGS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Aparat do sekwencjonowania DNA (bez pomiaru fluorescencji, bez użycia optyki) w oparciu o półprzewodnikową technologię pomiaru zmiany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pH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po wbudowaniu nukleotydu na matrycy DNA naczyniach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rekacyjnych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obecnych na chipie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57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Zintegrowany aparat zapewniający automatyzację procesów przygotowania biblioteki NGS, przygotowanie szablonu reakcji, sekwencjonowania, analizy danych pierwotnych oraz raportowanie wariantów dla aplikacji DNA, RNA i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cfTNA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Aparat pracujący w systemie fabrycznie napełnionych odczynników, pozwalających na  przygotowanie aparatu do pracy w czasie do 15 minut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1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System pracujący w oparciu o czteroliniowy układ półprzewodnikowy – chip o przepustowości 12–15 milionów odczytów na linię (odczyty  w zakresie 200 – 400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pz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) lub o chipy o zmiennej przepustowości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6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Czteroliniowy układ </w:t>
            </w:r>
            <w:r w:rsidR="0062376B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półp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rzewodnikowy – chip umożliwiający sekwencjonowanie na 1 z 4 dostępnych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lini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przy zachowaniu stabilności chipa w trakcie użytkowania pozostałych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lini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w kolejnych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sekwencjonowaniach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40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Wielopasmowy układ sekwencyjny umożliwiający sekwencjonowanie od 1 do 32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jedno-pulowych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bibliotek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91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Technologia pozwalająca na masowe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sekwencjonowanie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amplikonów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, w oparciu panele genowe służące nowoczesnej diagnostyce raka płuca.  Możliwość projektowania i przygotowania paneli genowych dostosowanych do indywidualnych potrzeb klienta z możliwością przygotowywania na życzenie Zamawiającego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62376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bookmarkStart w:id="0" w:name="RANGE!C10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Certyfikat do diagnostyki in vitro IVD </w:t>
            </w:r>
            <w:bookmarkEnd w:id="0"/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9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Dostawa  niezbędnych odczynników startowych potrzebnych do przeprowadzenia  kompletnych analiz </w:t>
            </w:r>
            <w:r w:rsidR="00C421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32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próbek nowotworów płuc, służącemu kompleksowemu przeszkoleniu personelu Zamawiającego.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29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ind w:left="360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hideMark/>
          </w:tcPr>
          <w:p w:rsidR="00213CBA" w:rsidRPr="007F09D3" w:rsidRDefault="00213CBA" w:rsidP="007F09D3">
            <w:pPr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2</w:t>
            </w:r>
          </w:p>
        </w:tc>
        <w:tc>
          <w:tcPr>
            <w:tcW w:w="1483" w:type="dxa"/>
            <w:shd w:val="clear" w:color="auto" w:fill="FDE9D9" w:themeFill="accent6" w:themeFillTint="33"/>
            <w:hideMark/>
          </w:tcPr>
          <w:p w:rsidR="00213CBA" w:rsidRPr="007F09D3" w:rsidRDefault="00213CBA" w:rsidP="007F09D3">
            <w:pPr>
              <w:spacing w:after="0" w:line="240" w:lineRule="auto"/>
              <w:ind w:left="360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283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bookmarkStart w:id="1" w:name="RANGE!C18"/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Aparat do automatycznej izolacji kwasów nukleinowych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, który automatyzuje ekstrakcje kwasu nukleinowego, oczyszczanie i oznaczanie ilościowe. Aparat, który przygotowuje próbkę do sekwencjonowania wielkoskalowego, wymagane przygotowanie (oczyszczenie, skwantyfikowanie i rozcieńczenie) próbek kwasu nukleinowego</w:t>
            </w:r>
            <w:r w:rsidR="00C421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w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w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ciągu 2 h gotowych do załadowania do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sekwenatora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do dalszej analizy. Wymagane p</w:t>
            </w:r>
            <w:r w:rsidRPr="007F09D3">
              <w:rPr>
                <w:rFonts w:ascii="Verdana" w:eastAsia="Times New Roman" w:hAnsi="Verdana" w:cs="Arial"/>
                <w:color w:val="202124"/>
                <w:lang w:eastAsia="pl-PL"/>
              </w:rPr>
              <w:t>ełne oczyszczanie DNA, RNA i całkowitego wolnego od komórek kwasu nukleinowego (</w:t>
            </w:r>
            <w:proofErr w:type="spellStart"/>
            <w:r w:rsidRPr="007F09D3">
              <w:rPr>
                <w:rFonts w:ascii="Verdana" w:eastAsia="Times New Roman" w:hAnsi="Verdana" w:cs="Arial"/>
                <w:color w:val="202124"/>
                <w:lang w:eastAsia="pl-PL"/>
              </w:rPr>
              <w:t>cfTNA</w:t>
            </w:r>
            <w:proofErr w:type="spellEnd"/>
            <w:r w:rsidRPr="007F09D3">
              <w:rPr>
                <w:rFonts w:ascii="Verdana" w:eastAsia="Times New Roman" w:hAnsi="Verdana" w:cs="Arial"/>
                <w:color w:val="202124"/>
                <w:lang w:eastAsia="pl-PL"/>
              </w:rPr>
              <w:t xml:space="preserve">) z wielu typów próbek, w tym: tkanek w bloczku parafinowym FFPE,  osocza; krwi pełnej; PBL; oraz </w:t>
            </w:r>
            <w:proofErr w:type="spellStart"/>
            <w:r w:rsidRPr="007F09D3">
              <w:rPr>
                <w:rFonts w:ascii="Verdana" w:eastAsia="Times New Roman" w:hAnsi="Verdana" w:cs="Arial"/>
                <w:color w:val="202124"/>
                <w:lang w:eastAsia="pl-PL"/>
              </w:rPr>
              <w:t>lizatu</w:t>
            </w:r>
            <w:proofErr w:type="spellEnd"/>
            <w:r w:rsidRPr="007F09D3">
              <w:rPr>
                <w:rFonts w:ascii="Verdana" w:eastAsia="Times New Roman" w:hAnsi="Verdana" w:cs="Arial"/>
                <w:color w:val="202124"/>
                <w:lang w:eastAsia="pl-PL"/>
              </w:rPr>
              <w:t xml:space="preserve"> z tkanki, z tkanki świeżo mrożonej i szpiku kostnego. UPS – min. </w:t>
            </w:r>
            <w:r w:rsidRPr="007F09D3">
              <w:rPr>
                <w:rFonts w:ascii="Verdana" w:eastAsia="Times New Roman" w:hAnsi="Verdana" w:cs="Arial"/>
                <w:color w:val="202124"/>
                <w:lang w:eastAsia="pl-PL"/>
              </w:rPr>
              <w:lastRenderedPageBreak/>
              <w:t xml:space="preserve">3 </w:t>
            </w:r>
            <w:proofErr w:type="spellStart"/>
            <w:r w:rsidRPr="007F09D3">
              <w:rPr>
                <w:rFonts w:ascii="Verdana" w:eastAsia="Times New Roman" w:hAnsi="Verdana" w:cs="Arial"/>
                <w:color w:val="202124"/>
                <w:lang w:eastAsia="pl-PL"/>
              </w:rPr>
              <w:t>kVa</w:t>
            </w:r>
            <w:bookmarkEnd w:id="1"/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ED38E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ED38EB" w:rsidRPr="007F09D3" w:rsidRDefault="00ED38EB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</w:tcPr>
          <w:p w:rsidR="00E82F7D" w:rsidRPr="007F09D3" w:rsidRDefault="0062376B" w:rsidP="007F09D3">
            <w:pPr>
              <w:spacing w:after="0" w:line="240" w:lineRule="auto"/>
              <w:rPr>
                <w:rFonts w:ascii="Verdana" w:hAnsi="Verdana" w:cs="Arial"/>
              </w:rPr>
            </w:pPr>
            <w:r w:rsidRPr="007F09D3">
              <w:rPr>
                <w:rFonts w:ascii="Verdana" w:hAnsi="Verdana" w:cs="Arial"/>
              </w:rPr>
              <w:t xml:space="preserve">Możliwość integracji systemu z </w:t>
            </w:r>
            <w:proofErr w:type="spellStart"/>
            <w:r w:rsidRPr="007F09D3">
              <w:rPr>
                <w:rFonts w:ascii="Verdana" w:hAnsi="Verdana" w:cs="Arial"/>
              </w:rPr>
              <w:t>sekwenatorem</w:t>
            </w:r>
            <w:proofErr w:type="spellEnd"/>
            <w:r w:rsidRPr="007F09D3">
              <w:rPr>
                <w:rFonts w:ascii="Verdana" w:hAnsi="Verdana" w:cs="Arial"/>
              </w:rPr>
              <w:t xml:space="preserve"> NGS, co pozwala na przeniesienie próbek kwasu nukleinowego bezpośrednio do </w:t>
            </w:r>
            <w:proofErr w:type="spellStart"/>
            <w:r w:rsidRPr="007F09D3">
              <w:rPr>
                <w:rFonts w:ascii="Verdana" w:hAnsi="Verdana" w:cs="Arial"/>
              </w:rPr>
              <w:t>sekwenatora</w:t>
            </w:r>
            <w:proofErr w:type="spellEnd"/>
            <w:r w:rsidRPr="007F09D3">
              <w:rPr>
                <w:rFonts w:ascii="Verdana" w:hAnsi="Verdana" w:cs="Arial"/>
              </w:rPr>
              <w:t xml:space="preserve"> przy użyciu płytki wyjściowej </w:t>
            </w:r>
            <w:r w:rsidR="009D58A0" w:rsidRPr="007F09D3">
              <w:rPr>
                <w:rFonts w:ascii="Verdana" w:hAnsi="Verdana" w:cs="Arial"/>
              </w:rPr>
              <w:t>bez potrzeby</w:t>
            </w:r>
            <w:r w:rsidRPr="007F09D3">
              <w:rPr>
                <w:rFonts w:ascii="Verdana" w:hAnsi="Verdana" w:cs="Arial"/>
              </w:rPr>
              <w:t xml:space="preserve"> przenoszenia próbek do osobnych naczyń reakcyjnych i</w:t>
            </w:r>
            <w:r w:rsidR="00911F39" w:rsidRPr="007F09D3">
              <w:rPr>
                <w:rFonts w:ascii="Verdana" w:hAnsi="Verdana" w:cs="Arial"/>
              </w:rPr>
              <w:t xml:space="preserve"> </w:t>
            </w:r>
            <w:r w:rsidR="009D58A0" w:rsidRPr="007F09D3">
              <w:rPr>
                <w:rFonts w:ascii="Verdana" w:hAnsi="Verdana" w:cs="Arial"/>
              </w:rPr>
              <w:t>bez potrzeby użycia pipety manualnej</w:t>
            </w:r>
            <w:r w:rsidRPr="007F09D3">
              <w:rPr>
                <w:rFonts w:ascii="Verdana" w:hAnsi="Verdana" w:cs="Arial"/>
              </w:rPr>
              <w:t>, wraz z danymi określającymi parametry próbek (stężenie kw. nukleinowego, czystość próbki)</w:t>
            </w:r>
            <w:r w:rsidR="00911F39" w:rsidRPr="007F09D3">
              <w:rPr>
                <w:rFonts w:ascii="Verdana" w:hAnsi="Verdana" w:cs="Arial"/>
              </w:rPr>
              <w:t>.</w:t>
            </w:r>
            <w:r w:rsidRPr="007F09D3">
              <w:rPr>
                <w:rFonts w:ascii="Verdana" w:hAnsi="Verdana" w:cs="Arial"/>
              </w:rPr>
              <w:t xml:space="preserve"> </w:t>
            </w:r>
            <w:r w:rsidR="00911F39" w:rsidRPr="007F09D3">
              <w:rPr>
                <w:rFonts w:ascii="Verdana" w:hAnsi="Verdana" w:cs="Arial"/>
                <w:color w:val="202124"/>
              </w:rPr>
              <w:t>Aparat wykonuj</w:t>
            </w:r>
            <w:r w:rsidR="00E82F7D" w:rsidRPr="007F09D3">
              <w:rPr>
                <w:rFonts w:ascii="Verdana" w:hAnsi="Verdana" w:cs="Arial"/>
                <w:color w:val="202124"/>
              </w:rPr>
              <w:t xml:space="preserve">ący </w:t>
            </w:r>
            <w:r w:rsidR="009436D5" w:rsidRPr="007F09D3">
              <w:rPr>
                <w:rFonts w:ascii="Verdana" w:hAnsi="Verdana" w:cs="Arial"/>
                <w:color w:val="202124"/>
              </w:rPr>
              <w:t xml:space="preserve">samodzielnie </w:t>
            </w:r>
            <w:r w:rsidR="00911F39" w:rsidRPr="007F09D3">
              <w:rPr>
                <w:rFonts w:ascii="Verdana" w:hAnsi="Verdana" w:cs="Arial"/>
                <w:color w:val="202124"/>
              </w:rPr>
              <w:t>oznaczenia ilościowe kwasów nukleinowych</w:t>
            </w:r>
            <w:r w:rsidR="009436D5" w:rsidRPr="007F09D3">
              <w:rPr>
                <w:rFonts w:ascii="Verdana" w:hAnsi="Verdana" w:cs="Arial"/>
                <w:color w:val="202124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ED38EB" w:rsidRPr="007F09D3" w:rsidRDefault="00EF3D2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E82F7D" w:rsidRPr="007F09D3" w:rsidRDefault="0062376B" w:rsidP="007F09D3">
            <w:pPr>
              <w:spacing w:after="0" w:line="240" w:lineRule="auto"/>
              <w:rPr>
                <w:rFonts w:ascii="Verdana" w:hAnsi="Verdana" w:cs="Arial"/>
              </w:rPr>
            </w:pPr>
            <w:r w:rsidRPr="007F09D3">
              <w:rPr>
                <w:rFonts w:ascii="Verdana" w:hAnsi="Verdana" w:cs="Arial"/>
              </w:rPr>
              <w:t>Ap</w:t>
            </w:r>
            <w:r w:rsidR="00E82F7D" w:rsidRPr="007F09D3">
              <w:rPr>
                <w:rFonts w:ascii="Verdana" w:hAnsi="Verdana" w:cs="Arial"/>
              </w:rPr>
              <w:t>arat do puryfikacji wykorzystujący</w:t>
            </w:r>
            <w:r w:rsidRPr="007F09D3">
              <w:rPr>
                <w:rFonts w:ascii="Verdana" w:hAnsi="Verdana" w:cs="Arial"/>
              </w:rPr>
              <w:t xml:space="preserve"> pokładowy system wizyjny, który identyfikuje kod kreskowy materiałów eksploatacyjnych (odczynników) i sprawdza prawidłowe r</w:t>
            </w:r>
            <w:r w:rsidR="00B81226" w:rsidRPr="007F09D3">
              <w:rPr>
                <w:rFonts w:ascii="Verdana" w:hAnsi="Verdana" w:cs="Arial"/>
              </w:rPr>
              <w:t>ozmieszczenie w/w materiałów oraz z</w:t>
            </w:r>
            <w:r w:rsidRPr="007F09D3">
              <w:rPr>
                <w:rFonts w:ascii="Verdana" w:hAnsi="Verdana" w:cs="Arial"/>
              </w:rPr>
              <w:t>apewnia przesyłanie informacji zwrotnych na temat nieprawidłowo rozmieszczonych lub przet</w:t>
            </w:r>
            <w:r w:rsidR="00B81226" w:rsidRPr="007F09D3">
              <w:rPr>
                <w:rFonts w:ascii="Verdana" w:hAnsi="Verdana" w:cs="Arial"/>
              </w:rPr>
              <w:t>e</w:t>
            </w:r>
            <w:r w:rsidRPr="007F09D3">
              <w:rPr>
                <w:rFonts w:ascii="Verdana" w:hAnsi="Verdana" w:cs="Arial"/>
              </w:rPr>
              <w:t xml:space="preserve">rminowanych odczynników podczas konfiguracji przebiegu. </w:t>
            </w:r>
            <w:r w:rsidRPr="007F09D3">
              <w:rPr>
                <w:rFonts w:ascii="Verdana" w:hAnsi="Verdana" w:cs="Arial"/>
                <w:color w:val="202124"/>
              </w:rPr>
              <w:t>Aparat generuj</w:t>
            </w:r>
            <w:r w:rsidR="00B81226" w:rsidRPr="007F09D3">
              <w:rPr>
                <w:rFonts w:ascii="Verdana" w:hAnsi="Verdana" w:cs="Arial"/>
                <w:color w:val="202124"/>
              </w:rPr>
              <w:t>ący</w:t>
            </w:r>
            <w:r w:rsidRPr="007F09D3">
              <w:rPr>
                <w:rFonts w:ascii="Verdana" w:hAnsi="Verdana" w:cs="Arial"/>
                <w:color w:val="202124"/>
              </w:rPr>
              <w:t xml:space="preserve"> raport z wynikiem przygotowania próbek (stężenie, rozcieńczenie, stopień czystości) dla procesu sekwencjonowania NGS (klasyfikac</w:t>
            </w:r>
            <w:r w:rsidR="00B81226" w:rsidRPr="007F09D3">
              <w:rPr>
                <w:rFonts w:ascii="Verdana" w:hAnsi="Verdana" w:cs="Arial"/>
                <w:color w:val="202124"/>
              </w:rPr>
              <w:t>ja instalacji (IQ), klasyfikacji</w:t>
            </w:r>
            <w:r w:rsidRPr="007F09D3">
              <w:rPr>
                <w:rFonts w:ascii="Verdana" w:hAnsi="Verdana" w:cs="Arial"/>
                <w:color w:val="202124"/>
              </w:rPr>
              <w:t xml:space="preserve"> operacyjnej (OQ) oraz klasyfikacji wydajności (PQ))</w:t>
            </w:r>
            <w:r w:rsidR="00911F39" w:rsidRPr="007F09D3">
              <w:rPr>
                <w:rFonts w:ascii="Verdana" w:hAnsi="Verdana" w:cs="Arial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6C32A7">
        <w:trPr>
          <w:trHeight w:val="1164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Dostawa niezbędnych odczynników startowych potrzebnych do przeprowadzenia kompletnych ekstrakcji </w:t>
            </w:r>
            <w:r w:rsidR="00C421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32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próbek nowotworów płuc, służącemu dalszej analizie sekwencyjnej i kompleksowemu przeszkoleniu personelu Zamawiającego.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273"/>
        </w:trPr>
        <w:tc>
          <w:tcPr>
            <w:tcW w:w="715" w:type="dxa"/>
            <w:shd w:val="clear" w:color="auto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F206E3" w:rsidTr="00213065">
        <w:trPr>
          <w:trHeight w:val="45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213CBA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val="en-US" w:eastAsia="pl-PL"/>
              </w:rPr>
            </w:pPr>
            <w:proofErr w:type="spellStart"/>
            <w:r w:rsidRPr="007F09D3">
              <w:rPr>
                <w:rFonts w:ascii="Verdana" w:eastAsia="Times New Roman" w:hAnsi="Verdana"/>
                <w:b/>
                <w:bCs/>
                <w:lang w:val="en-US"/>
              </w:rPr>
              <w:t>Pakiet</w:t>
            </w:r>
            <w:proofErr w:type="spellEnd"/>
            <w:r w:rsidRPr="007F09D3">
              <w:rPr>
                <w:rFonts w:ascii="Verdana" w:eastAsia="Times New Roman" w:hAnsi="Verdana"/>
                <w:b/>
                <w:bCs/>
                <w:lang w:val="en-US"/>
              </w:rPr>
              <w:t xml:space="preserve"> 2: </w:t>
            </w:r>
            <w:proofErr w:type="spellStart"/>
            <w:r w:rsidRPr="007F09D3">
              <w:rPr>
                <w:rFonts w:ascii="Verdana" w:eastAsia="Times New Roman" w:hAnsi="Verdana"/>
                <w:b/>
                <w:bCs/>
                <w:lang w:val="en-US"/>
              </w:rPr>
              <w:t>Aparat</w:t>
            </w:r>
            <w:proofErr w:type="spellEnd"/>
            <w:r w:rsidRPr="007F09D3">
              <w:rPr>
                <w:rFonts w:ascii="Verdana" w:eastAsia="Times New Roman" w:hAnsi="Verdana"/>
                <w:b/>
                <w:bCs/>
                <w:lang w:val="en-US"/>
              </w:rPr>
              <w:t xml:space="preserve"> Real-Time PCR</w:t>
            </w:r>
          </w:p>
        </w:tc>
        <w:tc>
          <w:tcPr>
            <w:tcW w:w="1483" w:type="dxa"/>
            <w:shd w:val="clear" w:color="auto" w:fill="auto"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213CBA" w:rsidRPr="007F09D3" w:rsidTr="00213065">
        <w:trPr>
          <w:trHeight w:val="39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val="en-US"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Aparat Real-Time PCR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. Urządzenie umożliwiające amplifikację DNA oraz detekcję mutacji w genach EGFR, KRAS, BRAF,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Termocykler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na elementach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Peltiera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do pracy z płytkami PCR 96-dołkowymi.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3D00B6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Termocykler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wyposażony w blok 96-dołkowy, zapewniający wysoką homogenność termiczną.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Objętość robocza płytki PCR 96-dołkowej: 10-100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μl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/ 1 reakcja.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3D00B6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Lampa ksenonowa jako źródło światła do wzbudzania fluorescencji w zakresie 420 nm-630nm, umożliwiająca jednoczesne wzbudzanie wszystkich prób, z monitoringiem czasu pracy.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Wzbudzanie fluorescencji w minimum 5 kanałach,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Detekcja fluorescencji w minimum 6 kanałach: Cyan500, FAM/SYBR Green I, HEX/VIC/JOE, NED/TAMRA/Cy3, ROX/Texas Red, Cy5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99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System otwarty, umożliwiający analizę kwasów nukleinowych przy pomocy różnych barwników i sond molekularnych: SYBR Green I, Barwnik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interkalujący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typu LC Green do  analizy HRM (High Resolution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Melting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), Sonda hydrolizująca typu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TaqMan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Sonda hybrydyzująca typu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HybProbe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Sonda typu Simple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Probe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Analizator posiadający certyfikat CE do diagnostyki in vitro (IVD).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Oprogramowanie do obsługi i analizy wyników musi posiadać certyfikat do diagnostyki in vitro (CE-IVD).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Aparat walidowany do pracy z dedykowanymi testami diagnostycznymi IVD do detekcji mutacji genów EGFR, BRAF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Zintegrowany system detekcji fluorescencji – chłodzona kamera monochromatyczna CCD.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Prędkość nagrzewania bloku nie mniejsza niż 4,4°C/sek.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Prędkość chłodzenia bloku nie mniejsza niż  2,2°C / sek.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Urządzenie nie wymagające przeprowadzania żadnych okresowych kalibracji systemu optycznego związanych z wykorzystaniem różnych barwników fluorescencyjnych.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Urządzenie nie wymagające normalizacji z barwnikiem referencyjnym typu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Rox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283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W składzie zestawu komputer gotowy do wykorzystania z aparatem i systemem operacyjnym  oraz oprogramowaniem  </w:t>
            </w:r>
            <w:r w:rsidR="00B176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sterującym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i kontrolującym aparat PCR oraz  umożliwiającym pe</w:t>
            </w:r>
            <w:r w:rsidR="00B176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ł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ną analizę badanych prób,  monitor LCD 22”; napęd optyczny CD/DVD-ROM, klawiatura; mysz optyczna, drukarka kompatybilna z zaoferowanym komputerem;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42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Oprogramowanie umożliwiające przeprowadzenie testów diagnostycznych na obecność mutacji </w:t>
            </w:r>
            <w:r w:rsidR="00B176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genów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EGFR, BRAF, KRAS. Oprogramowanie automatycznie analizujące krzywe amplifikacji DNA i interpretujące je z podaniem wyniku analizy (tzn. wykryto/nie wykryto mutację genu EGFR, KRAS lub BRAF).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Oprogramowanie aparatu i baza danych z opcją automatycznego zapisywania informacji o wszystkich zmianach w plikach z otrzymanymi wynikami dokonywanych przez użytkowników aparatu.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Oprogramowanie zapewniające pełną odtwarzalność przebiegu badania: datę, czas, numery serii, wartości kontroli QC, dane pacjenta oraz wyniki badań zawarte w raporcie.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3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Oddzielne bazy danych (profile, wyniki, dane próbek) dla testów diagnostycznych i aplikacji własnych użytkownika.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Odrębne oprogramowanie do badań własnych użytkownika.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12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Oprogramowanie umożliwiające wykonanie i analizę wyników PCR w czasie rzeczywistym w następujących formatach: względny pomiar ilościowy kwasów nukleinowych, - bezwzględny pomiar ilościowy kwasów nukleinowych,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genotypowanie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metodą punktu końcowego, metodą krzywej topnienia,  skanowanie genowe metodą HRM (High-Resolution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Melting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),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Możliwość monitorowania przeprowadzanej reakcji PCR na bieżąco podczas jej trwania (online).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Tworzenie pliku z podsumowaniem reakcji PCR (m.in. parametry reakcji PCR, wyniki, wykresy) w formacie </w:t>
            </w:r>
            <w:r w:rsidR="00B176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umożliwiającym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wydruk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260"/>
        </w:trPr>
        <w:tc>
          <w:tcPr>
            <w:tcW w:w="715" w:type="dxa"/>
            <w:shd w:val="clear" w:color="auto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213CBA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/>
                <w:b/>
                <w:bCs/>
              </w:rPr>
              <w:t xml:space="preserve">Pakiet 3: </w:t>
            </w:r>
            <w:r w:rsidRPr="007F09D3">
              <w:rPr>
                <w:rFonts w:ascii="Verdana" w:eastAsia="Times New Roman" w:hAnsi="Verdana"/>
                <w:b/>
              </w:rPr>
              <w:t xml:space="preserve">Aparat do laserowej </w:t>
            </w:r>
            <w:proofErr w:type="spellStart"/>
            <w:r w:rsidRPr="007F09D3">
              <w:rPr>
                <w:rFonts w:ascii="Verdana" w:eastAsia="Times New Roman" w:hAnsi="Verdana"/>
                <w:b/>
              </w:rPr>
              <w:t>mikrodysekcji</w:t>
            </w:r>
            <w:proofErr w:type="spellEnd"/>
          </w:p>
        </w:tc>
        <w:tc>
          <w:tcPr>
            <w:tcW w:w="1483" w:type="dxa"/>
            <w:shd w:val="clear" w:color="auto" w:fill="auto"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Aparat do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</w:t>
            </w:r>
            <w:r w:rsidR="00B176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ikro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dysekcji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umożliwiający dysekcję zaznaczonego fragmentu przez fizyczny kontakt końcówki frezującej z preparatem przy jednoczesnym ruchu obrotowym, Grubość tkanki przeznaczonej do dysekcji 5-10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Podświetlenie preparatów przez lampę LED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4 miejsca na próbówki do zbierania wyizolowanego materiału</w:t>
            </w:r>
            <w:r w:rsidR="00B176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Stolik do mocowania preparatów:</w:t>
            </w:r>
            <w:r w:rsidR="00F4525B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Precyzja ruchu 5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, 4 miejsca na preparaty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Rozdzielczość dysekcji ~300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="00B1766C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.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Rozdzielczość kamery cyfrowej – 14MP, Powiększenie optyczne 5x, 4x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Stacja na bufor do dysekcji o pojemności przynajmniej 3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Końcówki do dysekcji tkanki w 3 rozmiarach: 250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525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725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Objętość końcówek do dysekcji tkanki 270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Czytane kody kreskowe przez wewnętrzny i zewnętrzny czytnik kodów: 1D, 2D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B1766C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Certyfikat </w:t>
            </w:r>
            <w:r w:rsidR="00213CBA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do diagnostyki in vitro (IVD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</w:t>
            </w:r>
            <w:r w:rsidR="00213CBA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)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Oprogramowanie sterujące aparatem Zainstalowane na dostarczonym komputerze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Stacja komputerowa z dedykowanym oprogramowaniem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Ręczny czytnik kodów kreskowych 1D i 2D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Możliwość zakładania kont użytkowników o różnym poziomie dostępu, zabezpieczonych hasłem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Wybór obrazu referencyjnego z preparatu HE lub pliku graficznego TIFF, JPG, JPEG lub PNG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Możliwość tworzenia do 4 grup izolacji na jednym preparacie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Informacje o powierzchni zaznaczonej grupy w mm2 oraz objętości grupy w mm3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174"/>
        </w:trPr>
        <w:tc>
          <w:tcPr>
            <w:tcW w:w="715" w:type="dxa"/>
            <w:shd w:val="clear" w:color="auto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429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213CBA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/>
                <w:b/>
                <w:bCs/>
              </w:rPr>
              <w:t>Pakiet 4: Wyposażenie laboratorium szpitalnego w sprzęt do diagnostyki genetycznej</w:t>
            </w:r>
          </w:p>
        </w:tc>
        <w:tc>
          <w:tcPr>
            <w:tcW w:w="1483" w:type="dxa"/>
            <w:shd w:val="clear" w:color="auto" w:fill="auto"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266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1</w:t>
            </w:r>
          </w:p>
        </w:tc>
        <w:tc>
          <w:tcPr>
            <w:tcW w:w="1483" w:type="dxa"/>
            <w:shd w:val="clear" w:color="auto" w:fill="FDE9D9" w:themeFill="accent6" w:themeFillTint="33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12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Spektrofotometr  do detekcji kwasów nukleinowych w kropli 1μL.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Spektrofotometr UV do pomiarów DNA/RNA, białek i określania stosunków A260/A280 i A260/A230. Zakres mierzonej absorbancji 0,04 do 30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Abs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Niedokładność pomiaru: max 3% przy 0,97 A, 302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nm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Granice detekcji: 2,0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ng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/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μL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dsDNA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, 1,6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ng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/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μL,RNA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, 0,06 mg/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BSA; 0,03 mg/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lgG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Sterowanie i odczyt przy pomocy wyświetlacza dotykowego LCD.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Długość ścieżki optycznej 1,0 mm i 0,2 mm z automatycznym wyborem. Objętość próbki od 1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μl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. Czas pomiaru do 5 sekund.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42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Eksport wyników przez gniazdo USB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2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2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85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Komora z laminarnym przepływem powietrza: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II klasa bezpieczeństwa, pionowy laminarny przepływ powietrza, dwa filtry HEPA o skuteczności 99,995% dla MPPS, system sterowania z wbudowanym panelem dotykowym z menu w języku polskim,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laminaryzator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automatyczna kompensacja zużycia filtrów zapewniająca stałą i bezpieczną szybkość przepływu powietrza w komorze, godzinowy licznik czasu pracy urządzenia i świetlówki UV oraz przepływ powietrze regulowany, czytelny i łatwy w obsłudze panel kontrolny- sygnalizacja optyczna i dźwiękowa, okno frontowe wykonane z podwójnego hartowanego szkła bez ramy pochylone pod kątem 8° elektrycznie podnoszone i opuszczane z możliwością zasunięcia do końca – zamknięcia obszaru roboczego, blat roboczy dzielony, z blachy nierdzewnej, oraz wnętrze obszaru roboczego wykonane ze stali nierdzewnej, świetlówka UV zamocowana na stałe, umieszczona w górnej tylnej części obszaru roboczego zabezpieczona przed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przypadkowym włączeniem podczas pracy, energooszczędne oświetlenie białe LED oraz boki przestrzeni roboczej z otworami okiennymi, obszar pracy zaopatrzony w dren do łatwego usuwania zanieczyszczeń i mycia komory, dwa gniazda do prądu, podłokietnik, licznik czasu pracy oraz wewnętrzny system nadzoru informujący o błędach pracy. Wymiary zewnętrzne maks.: szerokość 1350 mm x głębokość 790 mm (±5%)</w:t>
            </w:r>
          </w:p>
          <w:p w:rsidR="008362C6" w:rsidRPr="007F09D3" w:rsidRDefault="008362C6" w:rsidP="007F09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hAnsi="Verdana" w:cs="CIDFont+F2"/>
                <w:b/>
                <w:color w:val="0070C0"/>
              </w:rPr>
            </w:pPr>
            <w:r w:rsidRPr="007F09D3">
              <w:rPr>
                <w:rFonts w:ascii="Verdana" w:hAnsi="Verdana"/>
                <w:b/>
                <w:color w:val="0070C0"/>
              </w:rPr>
              <w:t xml:space="preserve">Zamawiający </w:t>
            </w:r>
            <w:r w:rsidRPr="007F09D3">
              <w:rPr>
                <w:rFonts w:ascii="Verdana" w:hAnsi="Verdana" w:cs="CIDFont+F2"/>
                <w:b/>
                <w:color w:val="0070C0"/>
                <w:u w:val="single"/>
              </w:rPr>
              <w:t>dopuszcza możliwość</w:t>
            </w:r>
            <w:r w:rsidRPr="007F09D3">
              <w:rPr>
                <w:rFonts w:ascii="Verdana" w:hAnsi="Verdana" w:cs="CIDFont+F2"/>
                <w:b/>
                <w:color w:val="0070C0"/>
              </w:rPr>
              <w:t xml:space="preserve"> zaoferowania komory z świetlówką UV umieszczoną w górnej, przedniej części obszaru roboczego.</w:t>
            </w:r>
            <w:r w:rsidR="00FE77A5" w:rsidRPr="007F09D3">
              <w:rPr>
                <w:rFonts w:ascii="Verdana" w:hAnsi="Verdana"/>
                <w:b/>
                <w:color w:val="0070C0"/>
              </w:rPr>
              <w:t xml:space="preserve"> </w:t>
            </w:r>
          </w:p>
          <w:p w:rsidR="008362C6" w:rsidRPr="007F09D3" w:rsidRDefault="008362C6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Szerokość komory nie mniejsza niż : 1250 mm, nie większa niż 1350mm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3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24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07316D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Wirówka preparacyjna, cytologiczna;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cytowirówka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do przygotowywania cienkowarstwowych preparatów cytologicznych.</w:t>
            </w:r>
            <w:r w:rsidR="00063CED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Podstawowe parametry: możliwość przygotowania preparatów w rotorze poza wirówką, możliwość wykonywania cytologii płynnej LBC, komórki osadzają się na </w:t>
            </w:r>
            <w:r w:rsidRPr="0007316D">
              <w:rPr>
                <w:rFonts w:ascii="Verdana" w:eastAsia="Times New Roman" w:hAnsi="Verdana" w:cs="Arial"/>
                <w:color w:val="000000"/>
                <w:lang w:eastAsia="pl-PL"/>
              </w:rPr>
              <w:t>powierzchni o średnicy 6 mm lub wymiarach 22 x 15 mm</w:t>
            </w:r>
            <w:r w:rsidRPr="0007316D">
              <w:rPr>
                <w:rFonts w:ascii="Verdana" w:eastAsia="Times New Roman" w:hAnsi="Verdana" w:cs="Arial"/>
                <w:b/>
                <w:color w:val="000000"/>
                <w:lang w:eastAsia="pl-PL"/>
              </w:rPr>
              <w:t>,</w:t>
            </w:r>
            <w:r w:rsidRPr="0007316D">
              <w:rPr>
                <w:rFonts w:ascii="Verdana" w:eastAsia="Times New Roman" w:hAnsi="Verdana" w:cs="Arial"/>
                <w:b/>
                <w:color w:val="0070C0"/>
                <w:lang w:eastAsia="pl-PL"/>
              </w:rPr>
              <w:t xml:space="preserve"> wirniki dostępne w wersji otwartej oraz zamkniętej</w:t>
            </w:r>
            <w:r w:rsidRPr="0007316D">
              <w:rPr>
                <w:rFonts w:ascii="Verdana" w:eastAsia="Times New Roman" w:hAnsi="Verdana" w:cs="Arial"/>
                <w:color w:val="0070C0"/>
                <w:lang w:eastAsia="pl-PL"/>
              </w:rPr>
              <w:t xml:space="preserve">,  </w:t>
            </w:r>
            <w:r w:rsidRPr="0007316D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alarm bezpieczeństwa w celu ochrony użytkowników i próbek, regulacja prędkości w zakresie 200-2000 RPM, objętość próbki w zakresie 0,1 – 5 ml, czas wirowania ustawiany w minutach, skok co 0,1 min w zakresie </w:t>
            </w:r>
            <w:r w:rsidR="000364FA" w:rsidRPr="0007316D">
              <w:rPr>
                <w:rFonts w:ascii="Verdana" w:eastAsia="Times New Roman" w:hAnsi="Verdana" w:cs="Arial"/>
                <w:b/>
                <w:color w:val="0070C0"/>
                <w:lang w:eastAsia="pl-PL"/>
              </w:rPr>
              <w:t xml:space="preserve">od </w:t>
            </w:r>
            <w:r w:rsidR="000364FA" w:rsidRPr="0007316D">
              <w:rPr>
                <w:rFonts w:ascii="Verdana" w:hAnsi="Verdana" w:cs="Calibri"/>
                <w:b/>
                <w:color w:val="0070C0"/>
              </w:rPr>
              <w:t>1 – 99 min. ±5%</w:t>
            </w:r>
            <w:r w:rsidRPr="0007316D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zasilanie 220V, dołączony </w:t>
            </w:r>
            <w:proofErr w:type="spellStart"/>
            <w:r w:rsidRPr="0007316D">
              <w:rPr>
                <w:rFonts w:ascii="Verdana" w:eastAsia="Times New Roman" w:hAnsi="Verdana" w:cs="Arial"/>
                <w:color w:val="000000"/>
                <w:lang w:eastAsia="pl-PL"/>
              </w:rPr>
              <w:t>wyjmowalny</w:t>
            </w:r>
            <w:proofErr w:type="spellEnd"/>
            <w:r w:rsidRPr="0007316D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rotor na 8 pozycji</w:t>
            </w:r>
            <w:r w:rsidRPr="0007316D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 xml:space="preserve">- 8 metalowych uchwytów na </w:t>
            </w:r>
            <w:proofErr w:type="spellStart"/>
            <w:r w:rsidRPr="0007316D">
              <w:rPr>
                <w:rFonts w:ascii="Verdana" w:eastAsia="Times New Roman" w:hAnsi="Verdana" w:cs="Arial"/>
                <w:color w:val="000000"/>
                <w:lang w:eastAsia="pl-PL"/>
              </w:rPr>
              <w:t>cytokuwety</w:t>
            </w:r>
            <w:proofErr w:type="spellEnd"/>
            <w:r w:rsidRPr="0007316D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. </w:t>
            </w:r>
          </w:p>
          <w:p w:rsidR="00063CED" w:rsidRPr="007F09D3" w:rsidRDefault="00063CED" w:rsidP="007F09D3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iCs/>
                <w:color w:val="0070C0"/>
                <w:lang w:eastAsia="pl-PL"/>
              </w:rPr>
            </w:pPr>
            <w:r w:rsidRPr="0007316D">
              <w:rPr>
                <w:rFonts w:ascii="Verdana" w:eastAsia="Times New Roman" w:hAnsi="Verdana"/>
                <w:b/>
                <w:bCs/>
                <w:iCs/>
                <w:color w:val="0070C0"/>
                <w:lang w:eastAsia="pl-PL"/>
              </w:rPr>
              <w:t>Wirnik powinien umożliwiać pracę zamkniętą.</w:t>
            </w:r>
          </w:p>
          <w:p w:rsidR="008362C6" w:rsidRPr="007F09D3" w:rsidRDefault="008362C6" w:rsidP="007F09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hAnsi="Verdana"/>
                <w:b/>
                <w:color w:val="0070C0"/>
              </w:rPr>
            </w:pPr>
            <w:r w:rsidRPr="007F09D3">
              <w:rPr>
                <w:rFonts w:ascii="Verdana" w:hAnsi="Verdana"/>
                <w:b/>
                <w:color w:val="0070C0"/>
              </w:rPr>
              <w:t xml:space="preserve">Zamawiający </w:t>
            </w:r>
            <w:r w:rsidRPr="003F4FD5">
              <w:rPr>
                <w:rFonts w:ascii="Verdana" w:hAnsi="Verdana"/>
                <w:b/>
                <w:color w:val="0070C0"/>
                <w:u w:val="single"/>
              </w:rPr>
              <w:t>dopuści</w:t>
            </w:r>
            <w:r w:rsidRPr="007F09D3">
              <w:rPr>
                <w:rFonts w:ascii="Verdana" w:hAnsi="Verdana"/>
                <w:b/>
                <w:color w:val="0070C0"/>
              </w:rPr>
              <w:t> wirówkę z wyjmowanym rotorem na 12 pozycji.</w:t>
            </w:r>
          </w:p>
          <w:p w:rsidR="008362C6" w:rsidRPr="007F09D3" w:rsidRDefault="008362C6" w:rsidP="007F09D3">
            <w:pPr>
              <w:spacing w:after="0" w:line="240" w:lineRule="auto"/>
              <w:jc w:val="both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zestaw instalacyjny, do cytologii : 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cytokuweta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jednorazowa z bibułką - 200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szt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  szkiełka adhezyjne - 200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4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3F4FD5">
        <w:trPr>
          <w:trHeight w:val="841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Wirówka laboratoryjna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nastawną temperaturą i chłodzeniem.  Przeciążenie nastawne minimum  20900 x g. Automatyczne rozpoznawanie rotorów. Funkcja ECO wyłączająca urządzenie po 8 godzinach bezczynności. Technologia dynamicznego kompresora optymalizująca chłodzenie. Przycisk szybkiego chłodzenia z optymalnymi obrotami na panelu przednim wirówki. Możliwość stosowania rotorów o pojemności do 4 x 750 ml. Zestaw rotorów i adapterów do wirowania jednocześnie 48 probówek 15 ml, 28 probówek 50 ml i płytek DWP oraz MTP. Silnik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bezszczotkowy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,  oddzielny przycisk krótkiego wirowania Wymiary zewnętrzne maks.: szerokość 700 mm x głębokość 610 mm x wysokość 350 mm</w:t>
            </w:r>
          </w:p>
          <w:p w:rsidR="008362C6" w:rsidRPr="007F09D3" w:rsidRDefault="008362C6" w:rsidP="007F09D3">
            <w:pPr>
              <w:spacing w:after="0" w:line="240" w:lineRule="auto"/>
              <w:rPr>
                <w:rFonts w:ascii="Verdana" w:hAnsi="Verdana" w:cs="CIDFont+F2"/>
                <w:b/>
                <w:color w:val="0070C0"/>
              </w:rPr>
            </w:pPr>
            <w:r w:rsidRPr="007F09D3">
              <w:rPr>
                <w:rFonts w:ascii="Verdana" w:hAnsi="Verdana" w:cs="CIDFont+F2"/>
                <w:b/>
                <w:color w:val="0070C0"/>
              </w:rPr>
              <w:t xml:space="preserve">Zamawiający zamiast funkcji ECO wyłączającej urządzenie po 8 godzinach bezczynności </w:t>
            </w:r>
            <w:r w:rsidRPr="003F4FD5">
              <w:rPr>
                <w:rFonts w:ascii="Verdana" w:hAnsi="Verdana" w:cs="CIDFont+F2"/>
                <w:b/>
                <w:color w:val="0070C0"/>
                <w:u w:val="single"/>
              </w:rPr>
              <w:t>dopuści</w:t>
            </w:r>
            <w:r w:rsidRPr="007F09D3">
              <w:rPr>
                <w:rFonts w:ascii="Verdana" w:hAnsi="Verdana" w:cs="CIDFont+F2"/>
                <w:b/>
                <w:color w:val="0070C0"/>
              </w:rPr>
              <w:t xml:space="preserve"> wirówkę z możliwością zaprogramowania czasu automatycznego włączenia i wyłączenia z dokładnością co do minuty, jeśli wirówka nie jest używana.</w:t>
            </w:r>
          </w:p>
          <w:p w:rsidR="008362C6" w:rsidRPr="007F09D3" w:rsidRDefault="008362C6" w:rsidP="007F09D3">
            <w:pPr>
              <w:spacing w:after="0" w:line="240" w:lineRule="auto"/>
              <w:rPr>
                <w:rFonts w:ascii="Verdana" w:hAnsi="Verdana" w:cs="CIDFont+F2"/>
                <w:b/>
                <w:color w:val="0070C0"/>
              </w:rPr>
            </w:pPr>
          </w:p>
          <w:p w:rsidR="008362C6" w:rsidRPr="00465443" w:rsidRDefault="00F206E3" w:rsidP="0046544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Times New Roman" w:hAnsi="Verdana" w:cs="Arial"/>
                <w:b/>
                <w:color w:val="0070C0"/>
                <w:lang w:eastAsia="pl-PL"/>
              </w:rPr>
            </w:pPr>
            <w:r w:rsidRPr="00465443">
              <w:rPr>
                <w:rFonts w:ascii="Verdana" w:hAnsi="Verdana"/>
                <w:b/>
                <w:color w:val="0070C0"/>
              </w:rPr>
              <w:lastRenderedPageBreak/>
              <w:t>Podczas jedn</w:t>
            </w:r>
            <w:bookmarkStart w:id="2" w:name="_GoBack"/>
            <w:bookmarkEnd w:id="2"/>
            <w:r w:rsidRPr="00465443">
              <w:rPr>
                <w:rFonts w:ascii="Verdana" w:hAnsi="Verdana"/>
                <w:b/>
                <w:color w:val="0070C0"/>
              </w:rPr>
              <w:t>ego cyklu wirowania minimum 4 płytki DWP lub 4 płytki MTP, mają być wirowane jednocześnie w jednym rotorze.  Jeden cykl wirowania umożliwia wirowanie 48 probówek 15 ml w rotorze jednocześnie. Jeden cykl wirowania umożliwia wirowanie 28 probówek 50 ml w rotorze jednocześnie.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213CBA" w:rsidRPr="007F09D3" w:rsidTr="00A51504">
        <w:trPr>
          <w:trHeight w:val="558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Wirówka laboratoryjna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wentylowaną komorą wirowania. Przeciążenie nastawne  minimum 30100 x g. Automatyczne rozpoznawanie rotorów. Oddzielny przycisk krótkiego wirowania na panelu przednim oraz minimum 5 przycisków bezpośredniego dostępu do zapamiętanych programów wirowania. Możliwość stosowania rotorów umożliwiających wirowanie probówek 50 ml i płytek MTP. W zestawie rotor pozwalający na wirowanie 24 probówek 1,5/2 ml z pokrywą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areozoloszczelną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, Wymiary zewnętrzne maks.: szerokość 330 mm x głębokość 420 mm x wysokość 250 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5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708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Termomikser</w:t>
            </w:r>
            <w:proofErr w:type="spellEnd"/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laboratoryjny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 zakresie ustawiania temperatury +25°C do +100°C, rozdzielczość ustawiania temperatury 0,1°C, stabilność temperatury ±0,1°C, dokładność temperatury dla 37°C ±0,5°C, prędkość grzania od +25°C do +100°C - 4°C/min. Zakres prędkości wytrząsania 250-1400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obr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./min, orbita 2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mm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Mikroprocesorowa kontrola temperatury, mieszania i czasu pracy. wyświetlacz LCD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timer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1 min. - 96 godz. krok co 1 min. W zestawie blok wymienny na 24 probówki 1,5 ml Zewnętrzne do  szerokość 220 mm x głębokość 240 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6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12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Wytrząsarka laboratoryjna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 zakresie prędkości: 500-3000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obr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/min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 xml:space="preserve">Głowica przystosowana do probówek od 0,2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do 50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Tryb pracy ciągłej max 24 godz. (min. 1-godzinna przerwa między trybami) Max. objętość wytrząsania 30 ml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Średnica ruchu 4 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7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708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Wyciąg chemiczny / dygestorium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Wymiary zewnętrzne: szerokość 1200 mm, głębokość 850 mm , wysokość  nie więcej niż 2500 mm (±5%)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Konstrukcja nośna ze stali pokrytej chemoodporną farbą epoksydową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Konstrukcja zewnętrzna komory roboczej i komora wykonana ze stali kwasoodpornej 316 L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 xml:space="preserve">Blat z ceramiki monolitycznej z podniesionym obrzeżem bez fug.  W blacie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zlewik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ceramiczny po prawej stronie wzdłuż ściany tylnej komory. Na tylnej ścianie komory dygestorium: 2 x wylewka zimnej wody pokryta chemoodporną powłoką epoksydową 1 x wylewka gazu pokryta chemoodporną powłoką epoksydową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Sposób wentylacji szczelinowy poprzez podwójną ścianę tylną Komora robocza z oknem przesuwnym, ogranicznik okna przesuwnego, Oświetlenie umiejscowione poza komorą roboczą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 xml:space="preserve">Sygnalizator przepływu powietrza z alarmem akustycznym i optycznym ostrzegającym przed nieprawidłowym działaniem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wyciągu. W listwie armaturowej pod blatem: 2 x zawór zimnej wody, 1 x zawór gazu, 2 x gniazdo 230V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wyłącznik nadprądowy, włącznik/wyłącznik oświetlenia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Pod blatem szafka laminowana z płyty obustronnie laminowanej: Wentylowana, wewnątrz półka, wnętrze wyłożone chemoodpornym polipropylenem (szafka przeznaczona do podręcznego przechowywania chemikaliów)</w:t>
            </w:r>
          </w:p>
          <w:p w:rsidR="008362C6" w:rsidRPr="007F09D3" w:rsidRDefault="008362C6" w:rsidP="007F09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hAnsi="Verdana"/>
                <w:b/>
                <w:color w:val="0070C0"/>
              </w:rPr>
            </w:pPr>
            <w:r w:rsidRPr="007F09D3">
              <w:rPr>
                <w:rFonts w:ascii="Verdana" w:hAnsi="Verdana"/>
                <w:b/>
                <w:color w:val="0070C0"/>
              </w:rPr>
              <w:t xml:space="preserve">Zamawiający </w:t>
            </w:r>
            <w:r w:rsidRPr="007F09D3">
              <w:rPr>
                <w:rFonts w:ascii="Verdana" w:hAnsi="Verdana"/>
                <w:b/>
                <w:color w:val="0070C0"/>
                <w:u w:val="single"/>
              </w:rPr>
              <w:t xml:space="preserve">dopuszcza </w:t>
            </w:r>
            <w:r w:rsidRPr="007F09D3">
              <w:rPr>
                <w:rFonts w:ascii="Verdana" w:hAnsi="Verdana" w:cs="CIDFont+F2"/>
                <w:b/>
                <w:color w:val="0070C0"/>
              </w:rPr>
              <w:t xml:space="preserve">umiejscowienie </w:t>
            </w:r>
            <w:proofErr w:type="spellStart"/>
            <w:r w:rsidRPr="007F09D3">
              <w:rPr>
                <w:rFonts w:ascii="Verdana" w:hAnsi="Verdana" w:cs="CIDFont+F2"/>
                <w:b/>
                <w:color w:val="0070C0"/>
              </w:rPr>
              <w:t>zlewiku</w:t>
            </w:r>
            <w:proofErr w:type="spellEnd"/>
            <w:r w:rsidRPr="007F09D3">
              <w:rPr>
                <w:rFonts w:ascii="Verdana" w:hAnsi="Verdana" w:cs="CIDFont+F2"/>
                <w:b/>
                <w:color w:val="0070C0"/>
              </w:rPr>
              <w:t xml:space="preserve"> po stronie prawej, ale wzdłuż prawego boku.</w:t>
            </w:r>
          </w:p>
          <w:p w:rsidR="008362C6" w:rsidRPr="007F09D3" w:rsidRDefault="008362C6" w:rsidP="007F09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hAnsi="Verdana"/>
                <w:b/>
                <w:color w:val="0070C0"/>
              </w:rPr>
            </w:pPr>
            <w:r w:rsidRPr="007F09D3">
              <w:rPr>
                <w:rFonts w:ascii="Verdana" w:hAnsi="Verdana"/>
                <w:b/>
                <w:color w:val="0070C0"/>
              </w:rPr>
              <w:t>Zamawiający</w:t>
            </w:r>
            <w:r w:rsidRPr="00B37DB7">
              <w:rPr>
                <w:rFonts w:ascii="Verdana" w:hAnsi="Verdana"/>
                <w:b/>
                <w:color w:val="0070C0"/>
                <w:u w:val="single"/>
              </w:rPr>
              <w:t xml:space="preserve"> dopuszcza</w:t>
            </w:r>
            <w:r w:rsidRPr="007F09D3">
              <w:rPr>
                <w:rFonts w:ascii="Verdana" w:hAnsi="Verdana" w:cs="CIDFont+F2"/>
                <w:b/>
                <w:color w:val="0070C0"/>
              </w:rPr>
              <w:t xml:space="preserve"> w podstawie dygestorium szafkę metalową.</w:t>
            </w:r>
          </w:p>
          <w:p w:rsidR="008362C6" w:rsidRPr="007F09D3" w:rsidRDefault="008362C6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8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7C18AC">
        <w:trPr>
          <w:trHeight w:val="85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Szafa do przechowywania niebezpiecznych substancji chemicznych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Wymiary zewnętrzne: szerokość 900 mm x głębokość 500 mm, wysokość 1900 mm (±5%), Szafa z blachy stalowej o gr. 0,8 mm,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Zamykanie drzwi za pomocą zamka zasuwowego z wkładką cylindryczną z dwoma kluczami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Szafa wyposażona w 6 szczelnych tac z blachy ocynkowanej; tace wysuwne i przestawne na wysokość co 50 mm, nośność 40 kg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Wentylacja w dolnej i górnej części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9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9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Zamrażarka o zdolności zamrażania 22,5 kg/24h, 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Bezszronowa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(No Frost), Pojemność minimum 263 litry (±5%). Czas utrzymywania temperatury przy braku zasilania: 24 godziny. Wymiary zewnętrzne maksimum: szerokość 600 mm x głębokość 630 mm x wysokość 1880 mm (±5%)</w:t>
            </w:r>
          </w:p>
          <w:p w:rsidR="00703E95" w:rsidRPr="007F09D3" w:rsidRDefault="00703E95" w:rsidP="007F09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hAnsi="Verdana"/>
                <w:b/>
                <w:color w:val="0070C0"/>
              </w:rPr>
            </w:pPr>
            <w:r w:rsidRPr="007F09D3">
              <w:rPr>
                <w:rFonts w:ascii="Verdana" w:hAnsi="Verdana"/>
                <w:b/>
                <w:color w:val="0070C0"/>
              </w:rPr>
              <w:t>Minimalny zakres temperatur:</w:t>
            </w:r>
          </w:p>
          <w:p w:rsidR="00703E95" w:rsidRPr="007F09D3" w:rsidRDefault="00703E95" w:rsidP="007F09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hAnsi="Verdana"/>
                <w:b/>
                <w:color w:val="0070C0"/>
              </w:rPr>
            </w:pPr>
            <w:r w:rsidRPr="007F09D3">
              <w:rPr>
                <w:rFonts w:ascii="Verdana" w:hAnsi="Verdana"/>
                <w:b/>
                <w:color w:val="0070C0"/>
              </w:rPr>
              <w:t>0°C – (-20°C)</w:t>
            </w:r>
          </w:p>
          <w:p w:rsidR="00703E95" w:rsidRPr="007F09D3" w:rsidRDefault="00703E95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Rejestrator temperatury z wyświetlaczem, sondą zewnętrzną i możliwością eksportu wyników przez port USB. Oprogramowanie do importu wyników do komputera.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10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283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Lodówka o pojemności minimum 364 litry ze sterowaniem elektronicznym. Poziom hałasu  38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dB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. Wymiary zewnętrzne maksimum: szerokość 595 mm x głębokość 630 mm x wysokość 1880 mm</w:t>
            </w:r>
          </w:p>
          <w:p w:rsidR="00703E95" w:rsidRPr="007F09D3" w:rsidRDefault="00703E95" w:rsidP="007F09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hAnsi="Verdana"/>
                <w:b/>
                <w:color w:val="0070C0"/>
              </w:rPr>
            </w:pPr>
            <w:r w:rsidRPr="007F09D3">
              <w:rPr>
                <w:rFonts w:ascii="Verdana" w:hAnsi="Verdana"/>
                <w:b/>
                <w:color w:val="0070C0"/>
              </w:rPr>
              <w:t>Minimalny zakres temperatur:</w:t>
            </w:r>
          </w:p>
          <w:p w:rsidR="00703E95" w:rsidRPr="007F09D3" w:rsidRDefault="00703E95" w:rsidP="007F09D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Verdana" w:hAnsi="Verdana"/>
                <w:b/>
                <w:color w:val="0070C0"/>
              </w:rPr>
            </w:pPr>
            <w:r w:rsidRPr="007F09D3">
              <w:rPr>
                <w:rFonts w:ascii="Verdana" w:hAnsi="Verdana"/>
                <w:b/>
                <w:color w:val="0070C0"/>
              </w:rPr>
              <w:t>0°C - 10°C</w:t>
            </w:r>
          </w:p>
          <w:p w:rsidR="00703E95" w:rsidRPr="007F09D3" w:rsidRDefault="00703E95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Rejestrator temperatury z wyświetlaczem, sondą zewnętrzną i możliwością eksportu wyników przez port USB. Oprogramowanie do importu wyników do komputera.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11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7F09D3" w:rsidTr="00213065">
        <w:trPr>
          <w:trHeight w:val="18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Pipety automatyczne z 4-cyfrowym wskaźnikiem nastawionej objętości </w:t>
            </w:r>
            <w:r w:rsidR="00063CED" w:rsidRPr="007F09D3">
              <w:rPr>
                <w:rFonts w:ascii="Verdana" w:eastAsia="Times New Roman" w:hAnsi="Verdana" w:cs="Arial"/>
                <w:b/>
                <w:bCs/>
                <w:color w:val="0070C0"/>
                <w:highlight w:val="yellow"/>
                <w:lang w:eastAsia="pl-PL"/>
              </w:rPr>
              <w:t>(2</w:t>
            </w:r>
            <w:r w:rsidRPr="007F09D3">
              <w:rPr>
                <w:rFonts w:ascii="Verdana" w:eastAsia="Times New Roman" w:hAnsi="Verdana" w:cs="Arial"/>
                <w:b/>
                <w:bCs/>
                <w:color w:val="0070C0"/>
                <w:highlight w:val="yellow"/>
                <w:lang w:eastAsia="pl-PL"/>
              </w:rPr>
              <w:t xml:space="preserve"> zestawy)</w:t>
            </w:r>
            <w:r w:rsidRPr="007F09D3">
              <w:rPr>
                <w:rFonts w:ascii="Verdana" w:eastAsia="Times New Roman" w:hAnsi="Verdana" w:cs="Arial"/>
                <w:color w:val="0070C0"/>
                <w:highlight w:val="yellow"/>
                <w:lang w:eastAsia="pl-PL"/>
              </w:rPr>
              <w:t>.</w:t>
            </w:r>
            <w:r w:rsidRPr="007F09D3">
              <w:rPr>
                <w:rFonts w:ascii="Verdana" w:eastAsia="Times New Roman" w:hAnsi="Verdana" w:cs="Arial"/>
                <w:color w:val="0070C0"/>
                <w:lang w:eastAsia="pl-PL"/>
              </w:rPr>
              <w:t xml:space="preserve"> 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Układ powiększający ułatwiający odczyt objętości. Barwny kod ułatwiający dobór końcówki. Wbudowany moduł RFID. System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rekalibracji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drugorzędowej wyposażony w dodatkowe okienko i skalę cyfrową dla dostosowania pipety do medium bez kalibracji wagowej.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4 pipety o zakresie: 0,1 – 2,5 µl, 0,5 – 10 µl, 10 – 100 µl, 100 – 1000 µl</w:t>
            </w:r>
            <w:r w:rsidR="00BB1DD1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, wraz z statywami karuzelowymi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12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7F09D3" w:rsidRDefault="00213CBA" w:rsidP="007F09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Lampa UV-C bakteriobójcza dwufunkcyjna sufitowa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; Lampa z wymuszonym obiegiem powietrza przez komorę UV-C o mocy 110 W i promiennikiem zewnętrznym 55 Licznik czasu pracy indukcyjny z wyświetlaczem. Wydajność wentylatora: 199 m3/h, Dezynfekowana kubatura: 45-90 m3, Zasięg działania lampy: minimum/maksimum 15-40 m2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7F09D3" w:rsidTr="00213065">
        <w:trPr>
          <w:trHeight w:val="141"/>
        </w:trPr>
        <w:tc>
          <w:tcPr>
            <w:tcW w:w="715" w:type="dxa"/>
            <w:shd w:val="clear" w:color="auto" w:fill="FFFF00"/>
            <w:noWrap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hideMark/>
          </w:tcPr>
          <w:p w:rsidR="00213CBA" w:rsidRPr="007F09D3" w:rsidRDefault="00213CBA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C2651B" w:rsidRPr="007F09D3" w:rsidTr="00E82F7D">
        <w:trPr>
          <w:trHeight w:val="46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/>
                <w:b/>
                <w:bCs/>
              </w:rPr>
            </w:pPr>
            <w:r w:rsidRPr="007F09D3">
              <w:rPr>
                <w:rFonts w:ascii="Verdana" w:eastAsia="Times New Roman" w:hAnsi="Verdana"/>
                <w:b/>
                <w:bCs/>
              </w:rPr>
              <w:t xml:space="preserve">Pakiet 5: </w:t>
            </w:r>
            <w:r w:rsidRPr="007F09D3">
              <w:rPr>
                <w:rFonts w:ascii="Verdana" w:eastAsia="Times New Roman" w:hAnsi="Verdana"/>
                <w:b/>
              </w:rPr>
              <w:t>Szafa wentylowana na odczynniki z filtrem formalinowym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Szafa wentylowana na odczynniki z filtrem formalinowym 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Wymiary zewnętrzne 1200 x 550 x 1975 ±3%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Wykonana  ze  stali  wysokiej  jakości,  o  dużej  odporności  na działanie środków  chemicznych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Szafa dwuskrzydłowa, Drzwi  przeszklone  z  hartowaną  szybą,  ułatwiającą  szybką identyfikacje  odczynników, pojemników i przechowywanych </w:t>
            </w:r>
            <w:r w:rsidR="00BB1DD1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materiałów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Wyposażona  w  sprzężony  system  szybkiego  zamykania  i  wydajnej wentylacji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Regulacja  wentylacji sterowana elektronicznie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Półki z wysokim rantem zapobiegającym rozlaniu się płynów w razie pęknięcia pojemnika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Możliwość podłączenia do centralnego odciągu oparów odczynników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System ochrony przed przegrzaniem i polem magnetycznym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Alarm świetlny i akustyczny sytuacji zużycia filtra lub blokady otwarcia drzwi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Fabrycznie zamontowany wentylator, gniazdo filtra chemicznego i wstępnego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Zapas filtrów minimalnie na dwie wymiany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Regulowane stopki poziomujące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Minimum 3 półki o nośności min,  50 kg każda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288"/>
        </w:trPr>
        <w:tc>
          <w:tcPr>
            <w:tcW w:w="715" w:type="dxa"/>
            <w:shd w:val="clear" w:color="auto" w:fill="FFFF00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C2651B" w:rsidRPr="007F09D3" w:rsidTr="00213065">
        <w:trPr>
          <w:trHeight w:val="58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/>
                <w:b/>
                <w:bCs/>
              </w:rPr>
              <w:t xml:space="preserve">Pakiet 6: </w:t>
            </w:r>
            <w:r w:rsidRPr="007F09D3">
              <w:rPr>
                <w:rFonts w:ascii="Verdana" w:eastAsia="Times New Roman" w:hAnsi="Verdana"/>
                <w:b/>
              </w:rPr>
              <w:t>Mikroskop do oceny preparatów histopatologicznych</w:t>
            </w:r>
          </w:p>
        </w:tc>
        <w:tc>
          <w:tcPr>
            <w:tcW w:w="1483" w:type="dxa"/>
            <w:shd w:val="clear" w:color="auto" w:fill="auto"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Mikroskop</w:t>
            </w:r>
            <w:r w:rsidR="009941F3"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y</w:t>
            </w: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optyczn</w:t>
            </w:r>
            <w:r w:rsidR="00AF72E0"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e</w:t>
            </w: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(2 sztuki)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Statyw mikroskopu z trójstopniowym układem ogniskowania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Możliwość rozbudowy o pracę w ciemnym polu, kontrast fazowy, polaryzację i fluorescencję.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Statyw wyposażony w system zapamiętywania parametrów natężenia światła niezależnie dla każdego obiektywu.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Oświetlenie LED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94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Statyw  wyposażony w przyciski funkcyjne umożliwiające zmianę powiększeń oraz przyciski sterujące umożliwiające zmianę powiększeń +/- jedna pozycja, umiejscowione w bezpośredniej bliskości pokręteł mikro/makro po obu stronach mikroskopu.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Możliwość zmiany położenia obiektywu za pomocą pedału.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Statyw wyposażony w system zapamiętywania pozycji dwóch dowolnie wybranych obiektywów zmienianych przyciskami sterującymi.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94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Zautomatyzowany kondensor achromatyczno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aplanatyczny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możliwością ustawienia mikroskopu wg zasad Kohlera (możliwość centrowania i zmiany położenia wysokości kondensora), ze zautomatyzowaną, uchylną soczewką czołową, z irysową przysłoną aperturową umożliwiająca pracę w zakresie powiększeń 2,5x -100x.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Kondensor wyposażony w szczelinę dla suwaka przysłon do kontrastu fazowego. Dodatkowe wyposażenie do polaryzacji (polaryzator/analizator)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Zdejmowalne pokrętła mikro/makro z możliwością zamiany pozycji dla operatorów prawo- lub leworęcznych. Pokrętła mocowane na zatrzaski magnetyczne.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Stolik mechaniczny z utwardzaną powłoką ceramiczną, z uchwytem na dwa szkiełka mikroskopowe, ze współosiowym pokrętłem układu zmiany położenia preparatu w osiach x-y.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Możliwość regulacji położenia wysokości pokręteł przesuwu prepar</w:t>
            </w:r>
            <w:r w:rsidR="00BB1DD1"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a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tu.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67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Tubus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trinokularny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 regulowanym kącie pochylenia 0-30</w:t>
            </w:r>
            <w:r w:rsidRPr="007F09D3">
              <w:rPr>
                <w:rFonts w:ascii="Verdana" w:eastAsia="Times New Roman" w:hAnsi="Verdana" w:cs="Arial"/>
                <w:color w:val="000000"/>
                <w:vertAlign w:val="superscript"/>
                <w:lang w:eastAsia="pl-PL"/>
              </w:rPr>
              <w:t>o</w:t>
            </w: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. Zakres rozstawu źrenic min. 55-75. Podział światła 50/50.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Okulary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szerokopolowe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 polu widzenia min. 22mm. 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Oba okulary z korekcją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dioptryjną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Obecna pomiarowa płytka mikrometryczna.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Zautomatyzowany, kodowany rewolwer obiektywowy min. 6-pozycyjny.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Obiektywy o powiększeniach 2,5 x , 5x, 10x , 20x i 40x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422"/>
        </w:trPr>
        <w:tc>
          <w:tcPr>
            <w:tcW w:w="715" w:type="dxa"/>
            <w:shd w:val="clear" w:color="auto" w:fill="FFFF00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C2651B" w:rsidRPr="007F09D3" w:rsidTr="00213065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/>
                <w:b/>
                <w:bCs/>
              </w:rPr>
              <w:t xml:space="preserve">Pakiet 7: </w:t>
            </w:r>
            <w:r w:rsidRPr="007F09D3">
              <w:rPr>
                <w:rFonts w:ascii="Verdana" w:eastAsia="Times New Roman" w:hAnsi="Verdana"/>
                <w:b/>
              </w:rPr>
              <w:t>Automat do folii nakrywkowej dla preparatów histopatologicznych</w:t>
            </w:r>
          </w:p>
        </w:tc>
        <w:tc>
          <w:tcPr>
            <w:tcW w:w="1483" w:type="dxa"/>
            <w:shd w:val="clear" w:color="auto" w:fill="auto"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C2651B" w:rsidRPr="007F09D3" w:rsidTr="00213065">
        <w:trPr>
          <w:trHeight w:val="411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Automat do folii nakrywkowej dla preparatów histopatologicznych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Możliwość sprzężenia z barwiarką -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Tissue-Tek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Prisma</w:t>
            </w:r>
            <w:proofErr w:type="spellEnd"/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Plus celem utworzenia połączonego systemu barwienia i nakrywania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Wydajność minimum 1000 szkiełek na minutę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Dostarczenie koszyczków na minimum 220 szkiełek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Możliwość regulowania długości naklejanej taśmy – 45; 50; 55 i 60 mm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W ramach zakupu montaż urządzenia, sparowanie z barwiarką i przeszkolenie personelu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7F09D3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Zestaw instalacyjny: dostarczenie materiałów zużywalnych na wystarczających na oklejenie 200 szkiełek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7F09D3" w:rsidRDefault="00C2651B" w:rsidP="007F09D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7F09D3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</w:tbl>
    <w:p w:rsidR="00176484" w:rsidRPr="007F09D3" w:rsidRDefault="00176484" w:rsidP="007F09D3">
      <w:pPr>
        <w:spacing w:after="0" w:line="240" w:lineRule="auto"/>
        <w:rPr>
          <w:rFonts w:ascii="Verdana" w:eastAsia="Times New Roman" w:hAnsi="Verdana" w:cs="Arial"/>
          <w:color w:val="000000"/>
          <w:lang w:eastAsia="pl-PL"/>
        </w:rPr>
      </w:pPr>
    </w:p>
    <w:p w:rsidR="00176484" w:rsidRPr="007F09D3" w:rsidRDefault="00213CBA" w:rsidP="007F09D3">
      <w:pPr>
        <w:spacing w:after="0" w:line="240" w:lineRule="auto"/>
        <w:rPr>
          <w:rFonts w:ascii="Verdana" w:hAnsi="Verdana" w:cs="Arial"/>
        </w:rPr>
      </w:pPr>
      <w:r w:rsidRPr="007F09D3">
        <w:rPr>
          <w:rFonts w:ascii="Verdana" w:hAnsi="Verdana" w:cs="Arial"/>
        </w:rPr>
        <w:t>Wszystkie urządzenia muszą być nowe, wyprodukowane nie wcześniej niż w 2022 roku.</w:t>
      </w:r>
    </w:p>
    <w:p w:rsidR="003637FD" w:rsidRPr="007F09D3" w:rsidRDefault="003637FD" w:rsidP="007F09D3">
      <w:pPr>
        <w:spacing w:after="0" w:line="240" w:lineRule="auto"/>
        <w:rPr>
          <w:rFonts w:ascii="Verdana" w:hAnsi="Verdana" w:cs="Arial"/>
        </w:rPr>
      </w:pPr>
      <w:r w:rsidRPr="007F09D3">
        <w:rPr>
          <w:rFonts w:ascii="Verdana" w:hAnsi="Verdana" w:cs="Arial"/>
        </w:rPr>
        <w:lastRenderedPageBreak/>
        <w:t>Wykonawca dostarcza wraz ze sprzętem instrukcję obsługi w języku polskim.</w:t>
      </w:r>
    </w:p>
    <w:p w:rsidR="00D86269" w:rsidRPr="007F09D3" w:rsidRDefault="00D86269" w:rsidP="007F09D3">
      <w:pPr>
        <w:spacing w:after="0" w:line="240" w:lineRule="auto"/>
        <w:rPr>
          <w:rFonts w:ascii="Verdana" w:hAnsi="Verdana" w:cstheme="minorHAnsi"/>
        </w:rPr>
      </w:pPr>
      <w:r w:rsidRPr="007F09D3">
        <w:rPr>
          <w:rFonts w:ascii="Verdana" w:hAnsi="Verdana" w:cs="Arial"/>
        </w:rPr>
        <w:t xml:space="preserve">Wykonawca zobowiązany jest do zainstalowania i uruchomienia sprzętu, a w przypadku </w:t>
      </w:r>
      <w:r w:rsidRPr="007F09D3">
        <w:rPr>
          <w:rFonts w:ascii="Verdana" w:hAnsi="Verdana" w:cstheme="minorHAnsi"/>
        </w:rPr>
        <w:t>pakietów nr 1, 3, 6 oraz 7 do przeszkolenia pracowników w ilości do 3 osób</w:t>
      </w:r>
      <w:r w:rsidR="007F09D3" w:rsidRPr="007F09D3">
        <w:rPr>
          <w:rFonts w:ascii="Verdana" w:hAnsi="Verdana" w:cstheme="minorHAnsi"/>
        </w:rPr>
        <w:t>.</w:t>
      </w:r>
    </w:p>
    <w:p w:rsidR="007F09D3" w:rsidRPr="007F09D3" w:rsidRDefault="007F09D3" w:rsidP="007F09D3">
      <w:pPr>
        <w:spacing w:after="0" w:line="240" w:lineRule="auto"/>
        <w:jc w:val="both"/>
        <w:rPr>
          <w:rFonts w:ascii="Verdana" w:hAnsi="Verdana" w:cs="Arial"/>
          <w:b/>
          <w:color w:val="0070C0"/>
        </w:rPr>
      </w:pPr>
      <w:r w:rsidRPr="007F09D3">
        <w:rPr>
          <w:rFonts w:ascii="Verdana" w:hAnsi="Verdana" w:cstheme="minorHAnsi"/>
          <w:b/>
          <w:color w:val="0070C0"/>
        </w:rPr>
        <w:t>Integralną częścią opisu przedmiotu zamówienia są wyjaśnienia z dnia 13.02.2023 r. umieszczone na stronie internetowej prowadzonego postępowania.</w:t>
      </w:r>
    </w:p>
    <w:sectPr w:rsidR="007F09D3" w:rsidRPr="007F09D3" w:rsidSect="003637FD">
      <w:pgSz w:w="11906" w:h="16838"/>
      <w:pgMar w:top="1417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6484"/>
    <w:rsid w:val="000364FA"/>
    <w:rsid w:val="00050F9A"/>
    <w:rsid w:val="00063CED"/>
    <w:rsid w:val="0007316D"/>
    <w:rsid w:val="00133801"/>
    <w:rsid w:val="00176484"/>
    <w:rsid w:val="0018695A"/>
    <w:rsid w:val="00213065"/>
    <w:rsid w:val="00213489"/>
    <w:rsid w:val="00213CBA"/>
    <w:rsid w:val="002921D8"/>
    <w:rsid w:val="002B5EF1"/>
    <w:rsid w:val="002F4771"/>
    <w:rsid w:val="0031191F"/>
    <w:rsid w:val="0033299D"/>
    <w:rsid w:val="0033350C"/>
    <w:rsid w:val="00335519"/>
    <w:rsid w:val="003637FD"/>
    <w:rsid w:val="003D00B6"/>
    <w:rsid w:val="003F4FD5"/>
    <w:rsid w:val="00424EBD"/>
    <w:rsid w:val="00465443"/>
    <w:rsid w:val="00475FB9"/>
    <w:rsid w:val="004F63A0"/>
    <w:rsid w:val="005250AE"/>
    <w:rsid w:val="00525F95"/>
    <w:rsid w:val="005A5062"/>
    <w:rsid w:val="0062376B"/>
    <w:rsid w:val="006C32A7"/>
    <w:rsid w:val="006F603B"/>
    <w:rsid w:val="00703E95"/>
    <w:rsid w:val="00786267"/>
    <w:rsid w:val="00790E71"/>
    <w:rsid w:val="007C18AC"/>
    <w:rsid w:val="007D69B7"/>
    <w:rsid w:val="007F09D3"/>
    <w:rsid w:val="007F4701"/>
    <w:rsid w:val="008362C6"/>
    <w:rsid w:val="00836F1A"/>
    <w:rsid w:val="00840662"/>
    <w:rsid w:val="008B4305"/>
    <w:rsid w:val="008C64AD"/>
    <w:rsid w:val="008E408F"/>
    <w:rsid w:val="00911F39"/>
    <w:rsid w:val="009355DE"/>
    <w:rsid w:val="009436D5"/>
    <w:rsid w:val="009941F3"/>
    <w:rsid w:val="009B08C9"/>
    <w:rsid w:val="009D58A0"/>
    <w:rsid w:val="00A51504"/>
    <w:rsid w:val="00AF72E0"/>
    <w:rsid w:val="00B1766C"/>
    <w:rsid w:val="00B37DB7"/>
    <w:rsid w:val="00B75680"/>
    <w:rsid w:val="00B81226"/>
    <w:rsid w:val="00B82903"/>
    <w:rsid w:val="00BB1DD1"/>
    <w:rsid w:val="00BE1457"/>
    <w:rsid w:val="00C12D92"/>
    <w:rsid w:val="00C2651B"/>
    <w:rsid w:val="00C4216C"/>
    <w:rsid w:val="00D36F9C"/>
    <w:rsid w:val="00D86269"/>
    <w:rsid w:val="00DF6884"/>
    <w:rsid w:val="00E82F7D"/>
    <w:rsid w:val="00E95B07"/>
    <w:rsid w:val="00EB0246"/>
    <w:rsid w:val="00ED38EB"/>
    <w:rsid w:val="00EF3D2A"/>
    <w:rsid w:val="00F02CA8"/>
    <w:rsid w:val="00F206E3"/>
    <w:rsid w:val="00F4525B"/>
    <w:rsid w:val="00FE2574"/>
    <w:rsid w:val="00FE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3180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cp:lastPrinted>2023-01-12T09:37:00Z</cp:lastPrinted>
  <dcterms:created xsi:type="dcterms:W3CDTF">2023-02-13T13:45:00Z</dcterms:created>
  <dcterms:modified xsi:type="dcterms:W3CDTF">2023-02-13T13:45:00Z</dcterms:modified>
</cp:coreProperties>
</file>