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KRS/CEiDG)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>składane na podstawie art. 125 ust. 1 ustawy Pzp</w:t>
      </w:r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34E9" w:rsidRDefault="001434E9" w:rsidP="001464E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leków ogólnych, przeciwgruźliczych, leków odurzających, psychotropowych, leków z importu docelowego, surowców farmaceutycznych, artykułów materiałowych, albumin, wyciągi jadów owadów błonkoskrzydłych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2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KRS/CEiDG)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KRS/CEiDG)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KRS/CEiDG)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1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1">
    <w:p w:rsidR="00F943A2" w:rsidRDefault="00F943A2" w:rsidP="00EF45B6">
      <w:pPr>
        <w:spacing w:after="0" w:line="240" w:lineRule="auto"/>
      </w:pPr>
      <w:r>
        <w:continuationSeparator/>
      </w:r>
    </w:p>
  </w:footnote>
  <w:footnote w:id="2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434E9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D5A05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8C7"/>
    <w:rsid w:val="00760BF1"/>
    <w:rsid w:val="00760CC0"/>
    <w:rsid w:val="007648CC"/>
    <w:rsid w:val="007747C1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A452B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4F22-8DD7-4487-B93C-4EE00889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5</cp:revision>
  <dcterms:created xsi:type="dcterms:W3CDTF">2023-01-19T07:46:00Z</dcterms:created>
  <dcterms:modified xsi:type="dcterms:W3CDTF">2023-03-02T09:05:00Z</dcterms:modified>
</cp:coreProperties>
</file>