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454F99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B91301" w:rsidRPr="00B91301">
        <w:rPr>
          <w:rFonts w:ascii="Verdana" w:hAnsi="Verdana"/>
          <w:b/>
          <w:sz w:val="20"/>
        </w:rPr>
        <w:t>test</w:t>
      </w:r>
      <w:r w:rsidR="00B91301" w:rsidRPr="00B91301">
        <w:rPr>
          <w:rFonts w:ascii="Verdana" w:hAnsi="Verdana" w:hint="cs"/>
          <w:b/>
          <w:sz w:val="20"/>
        </w:rPr>
        <w:t>ó</w:t>
      </w:r>
      <w:r w:rsidR="00D10E6C">
        <w:rPr>
          <w:rFonts w:ascii="Verdana" w:hAnsi="Verdana"/>
          <w:b/>
          <w:sz w:val="20"/>
        </w:rPr>
        <w:t>w alergologicznych</w:t>
      </w:r>
      <w:r w:rsidR="00B91301" w:rsidRPr="00B91301">
        <w:rPr>
          <w:rFonts w:ascii="Verdana" w:hAnsi="Verdana"/>
          <w:b/>
          <w:sz w:val="20"/>
        </w:rPr>
        <w:t xml:space="preserve"> oraz </w:t>
      </w:r>
      <w:r w:rsidR="00185F2D">
        <w:rPr>
          <w:rFonts w:ascii="Verdana" w:hAnsi="Verdana"/>
          <w:b/>
          <w:sz w:val="20"/>
        </w:rPr>
        <w:t>d</w:t>
      </w:r>
      <w:r w:rsidR="00185F2D" w:rsidRPr="00185F2D">
        <w:rPr>
          <w:rFonts w:ascii="Verdana" w:hAnsi="Verdana"/>
          <w:b/>
          <w:sz w:val="20"/>
        </w:rPr>
        <w:t>zier</w:t>
      </w:r>
      <w:r w:rsidR="00185F2D" w:rsidRPr="00185F2D">
        <w:rPr>
          <w:rFonts w:ascii="Verdana" w:hAnsi="Verdana" w:hint="cs"/>
          <w:b/>
          <w:sz w:val="20"/>
        </w:rPr>
        <w:t>ż</w:t>
      </w:r>
      <w:r w:rsidR="00185F2D" w:rsidRPr="00185F2D">
        <w:rPr>
          <w:rFonts w:ascii="Verdana" w:hAnsi="Verdana"/>
          <w:b/>
          <w:sz w:val="20"/>
        </w:rPr>
        <w:t>awa analizatora do bada</w:t>
      </w:r>
      <w:r w:rsidR="00185F2D" w:rsidRPr="00185F2D">
        <w:rPr>
          <w:rFonts w:ascii="Verdana" w:hAnsi="Verdana" w:hint="cs"/>
          <w:b/>
          <w:sz w:val="20"/>
        </w:rPr>
        <w:t>ń</w:t>
      </w:r>
      <w:r w:rsidR="00185F2D" w:rsidRPr="00185F2D">
        <w:rPr>
          <w:rFonts w:ascii="Verdana" w:hAnsi="Verdana"/>
          <w:b/>
          <w:sz w:val="20"/>
        </w:rPr>
        <w:t xml:space="preserve"> immunologicznych pracuj</w:t>
      </w:r>
      <w:r w:rsidR="00185F2D" w:rsidRPr="00185F2D">
        <w:rPr>
          <w:rFonts w:ascii="Verdana" w:hAnsi="Verdana" w:hint="cs"/>
          <w:b/>
          <w:sz w:val="20"/>
        </w:rPr>
        <w:t>ą</w:t>
      </w:r>
      <w:r w:rsidR="00185F2D" w:rsidRPr="00185F2D">
        <w:rPr>
          <w:rFonts w:ascii="Verdana" w:hAnsi="Verdana"/>
          <w:b/>
          <w:sz w:val="20"/>
        </w:rPr>
        <w:t>cego w trybie POCT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54F99" w:rsidRDefault="0062014E" w:rsidP="00185F2D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test</w:t>
      </w:r>
      <w:r w:rsidR="00B91301" w:rsidRPr="00B91301">
        <w:rPr>
          <w:rFonts w:ascii="Verdana" w:hAnsi="Verdana" w:hint="cs"/>
          <w:b/>
          <w:sz w:val="20"/>
        </w:rPr>
        <w:t>ó</w:t>
      </w:r>
      <w:r w:rsidR="009515AD">
        <w:rPr>
          <w:rFonts w:ascii="Verdana" w:hAnsi="Verdana"/>
          <w:b/>
          <w:sz w:val="20"/>
        </w:rPr>
        <w:t>w alergologicznych</w:t>
      </w:r>
      <w:r w:rsidR="00B91301" w:rsidRPr="00B91301">
        <w:rPr>
          <w:rFonts w:ascii="Verdana" w:hAnsi="Verdana"/>
          <w:b/>
          <w:sz w:val="20"/>
        </w:rPr>
        <w:t xml:space="preserve"> oraz </w:t>
      </w:r>
      <w:r w:rsidR="00185F2D">
        <w:rPr>
          <w:rFonts w:ascii="Verdana" w:hAnsi="Verdana"/>
          <w:b/>
          <w:sz w:val="20"/>
        </w:rPr>
        <w:t>d</w:t>
      </w:r>
      <w:r w:rsidR="00185F2D" w:rsidRPr="00185F2D">
        <w:rPr>
          <w:rFonts w:ascii="Verdana" w:hAnsi="Verdana"/>
          <w:b/>
          <w:sz w:val="20"/>
        </w:rPr>
        <w:t>zier</w:t>
      </w:r>
      <w:r w:rsidR="00185F2D" w:rsidRPr="00185F2D">
        <w:rPr>
          <w:rFonts w:ascii="Verdana" w:hAnsi="Verdana" w:hint="cs"/>
          <w:b/>
          <w:sz w:val="20"/>
        </w:rPr>
        <w:t>ż</w:t>
      </w:r>
      <w:r w:rsidR="00185F2D" w:rsidRPr="00185F2D">
        <w:rPr>
          <w:rFonts w:ascii="Verdana" w:hAnsi="Verdana"/>
          <w:b/>
          <w:sz w:val="20"/>
        </w:rPr>
        <w:t>awa analizatora do bada</w:t>
      </w:r>
      <w:r w:rsidR="00185F2D" w:rsidRPr="00185F2D">
        <w:rPr>
          <w:rFonts w:ascii="Verdana" w:hAnsi="Verdana" w:hint="cs"/>
          <w:b/>
          <w:sz w:val="20"/>
        </w:rPr>
        <w:t>ń</w:t>
      </w:r>
      <w:r w:rsidR="00185F2D" w:rsidRPr="00185F2D">
        <w:rPr>
          <w:rFonts w:ascii="Verdana" w:hAnsi="Verdana"/>
          <w:b/>
          <w:sz w:val="20"/>
        </w:rPr>
        <w:t xml:space="preserve"> immunologicznych pracuj</w:t>
      </w:r>
      <w:r w:rsidR="00185F2D" w:rsidRPr="00185F2D">
        <w:rPr>
          <w:rFonts w:ascii="Verdana" w:hAnsi="Verdana" w:hint="cs"/>
          <w:b/>
          <w:sz w:val="20"/>
        </w:rPr>
        <w:t>ą</w:t>
      </w:r>
      <w:r w:rsidR="00185F2D" w:rsidRPr="00185F2D">
        <w:rPr>
          <w:rFonts w:ascii="Verdana" w:hAnsi="Verdana"/>
          <w:b/>
          <w:sz w:val="20"/>
        </w:rPr>
        <w:t>cego w trybie POCT</w:t>
      </w:r>
      <w:r w:rsidR="00676C16" w:rsidRPr="00454F99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231708">
        <w:rPr>
          <w:rFonts w:ascii="Verdana" w:hAnsi="Verdana" w:cs="Arial"/>
          <w:bCs/>
          <w:sz w:val="20"/>
          <w:szCs w:val="20"/>
        </w:rPr>
        <w:t xml:space="preserve"> 3  pakiety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231708" w:rsidRPr="00231708" w:rsidRDefault="00231708" w:rsidP="00231708">
      <w:pPr>
        <w:ind w:left="426"/>
        <w:jc w:val="both"/>
        <w:rPr>
          <w:rFonts w:ascii="Verdana" w:hAnsi="Verdana"/>
          <w:sz w:val="20"/>
          <w:szCs w:val="20"/>
        </w:rPr>
      </w:pPr>
      <w:r w:rsidRPr="00231708">
        <w:rPr>
          <w:rFonts w:ascii="Verdana" w:hAnsi="Verdana"/>
          <w:sz w:val="20"/>
          <w:szCs w:val="20"/>
        </w:rPr>
        <w:t>33696500-0</w:t>
      </w:r>
    </w:p>
    <w:p w:rsidR="004D179E" w:rsidRPr="00231708" w:rsidRDefault="00231708" w:rsidP="00231708">
      <w:pPr>
        <w:ind w:left="426"/>
        <w:jc w:val="both"/>
        <w:rPr>
          <w:rFonts w:ascii="Verdana" w:hAnsi="Verdana"/>
          <w:sz w:val="20"/>
          <w:szCs w:val="20"/>
        </w:rPr>
      </w:pPr>
      <w:r w:rsidRPr="00231708">
        <w:rPr>
          <w:rFonts w:ascii="Verdana" w:hAnsi="Verdana"/>
          <w:sz w:val="20"/>
          <w:szCs w:val="20"/>
        </w:rPr>
        <w:t>38434580-5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cy </w:t>
      </w:r>
      <w:r w:rsidRPr="00D03CD8">
        <w:rPr>
          <w:rFonts w:ascii="Verdana" w:hAnsi="Verdana" w:cstheme="minorHAnsi" w:hint="cs"/>
          <w:bCs/>
          <w:sz w:val="20"/>
          <w:szCs w:val="20"/>
        </w:rPr>
        <w:t>żą</w:t>
      </w:r>
      <w:r w:rsidRPr="00D03CD8">
        <w:rPr>
          <w:rFonts w:ascii="Verdana" w:hAnsi="Verdana" w:cstheme="minorHAnsi"/>
          <w:bCs/>
          <w:sz w:val="20"/>
          <w:szCs w:val="20"/>
        </w:rPr>
        <w:t>da z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enia wraz z ofert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nast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puj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rodk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e oferowane dostawy spe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niaj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okre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lone przez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cego wymagania:</w:t>
      </w: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1.</w:t>
      </w:r>
      <w:r w:rsidRPr="00D03CD8">
        <w:rPr>
          <w:rFonts w:ascii="Verdana" w:hAnsi="Verdana" w:cstheme="minorHAnsi"/>
          <w:bCs/>
          <w:sz w:val="20"/>
          <w:szCs w:val="20"/>
        </w:rPr>
        <w:tab/>
        <w:t>materia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y zawieraj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zyku polskim)</w:t>
      </w:r>
      <w:r w:rsidRPr="00D03CD8">
        <w:rPr>
          <w:rFonts w:ascii="Verdana" w:hAnsi="Verdana" w:cstheme="minorHAnsi" w:hint="cs"/>
          <w:bCs/>
          <w:sz w:val="20"/>
          <w:szCs w:val="20"/>
        </w:rPr>
        <w:t>–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rego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 oceni zgodno</w:t>
      </w:r>
      <w:r w:rsidRPr="00D03CD8">
        <w:rPr>
          <w:rFonts w:ascii="Verdana" w:hAnsi="Verdana" w:cstheme="minorHAnsi" w:hint="cs"/>
          <w:bCs/>
          <w:sz w:val="20"/>
          <w:szCs w:val="20"/>
        </w:rPr>
        <w:t>ść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z  opisanymi  w za</w:t>
      </w:r>
      <w:r w:rsidRPr="00D03CD8">
        <w:rPr>
          <w:rFonts w:ascii="Verdana" w:hAnsi="Verdana" w:cstheme="minorHAnsi" w:hint="cs"/>
          <w:bCs/>
          <w:sz w:val="20"/>
          <w:szCs w:val="20"/>
        </w:rPr>
        <w:t>łą</w:t>
      </w:r>
      <w:r>
        <w:rPr>
          <w:rFonts w:ascii="Verdana" w:hAnsi="Verdana" w:cstheme="minorHAnsi"/>
          <w:bCs/>
          <w:sz w:val="20"/>
          <w:szCs w:val="20"/>
        </w:rPr>
        <w:t>czniku nr 1</w:t>
      </w:r>
      <w:r w:rsidRPr="00D03CD8">
        <w:rPr>
          <w:rFonts w:ascii="Verdana" w:hAnsi="Verdana" w:cstheme="minorHAnsi"/>
          <w:bCs/>
          <w:sz w:val="20"/>
          <w:szCs w:val="20"/>
        </w:rPr>
        <w:t>.</w:t>
      </w: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Za wskazane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onych materia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ach zawieraj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D03CD8" w:rsidRPr="00D03CD8" w:rsidRDefault="00B71E60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2</w:t>
      </w:r>
      <w:r w:rsidR="00D03CD8" w:rsidRPr="00D03CD8">
        <w:rPr>
          <w:rFonts w:ascii="Verdana" w:hAnsi="Verdana" w:cstheme="minorHAnsi"/>
          <w:bCs/>
          <w:sz w:val="20"/>
          <w:szCs w:val="20"/>
        </w:rPr>
        <w:t>.</w:t>
      </w:r>
      <w:r w:rsidR="00D03CD8" w:rsidRPr="00D03CD8">
        <w:rPr>
          <w:rFonts w:ascii="Verdana" w:hAnsi="Verdana" w:cstheme="minorHAnsi"/>
          <w:bCs/>
          <w:sz w:val="20"/>
          <w:szCs w:val="20"/>
        </w:rPr>
        <w:tab/>
        <w:t>Wykonawca sk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rodki dowodowe okre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lone w ust. 1 wraz z ofert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="00D03CD8" w:rsidRPr="00D03CD8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B71E60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="00D03CD8" w:rsidRPr="00D03CD8">
        <w:rPr>
          <w:rFonts w:ascii="Verdana" w:hAnsi="Verdana" w:cstheme="minorHAnsi"/>
          <w:bCs/>
          <w:sz w:val="20"/>
          <w:szCs w:val="20"/>
        </w:rPr>
        <w:t>. Je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>eli Wykonawca nie z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o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rodk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="00D03CD8" w:rsidRPr="00D03CD8">
        <w:rPr>
          <w:rFonts w:ascii="Verdana" w:hAnsi="Verdana" w:cstheme="minorHAnsi"/>
          <w:bCs/>
          <w:sz w:val="20"/>
          <w:szCs w:val="20"/>
        </w:rPr>
        <w:t>w dowodowych lub z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o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rodki dowodowe b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="00D03CD8" w:rsidRPr="00D03CD8">
        <w:rPr>
          <w:rFonts w:ascii="Verdana" w:hAnsi="Verdana" w:cstheme="minorHAnsi"/>
          <w:bCs/>
          <w:sz w:val="20"/>
          <w:szCs w:val="20"/>
        </w:rPr>
        <w:t>d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="00D03CD8" w:rsidRPr="00D03CD8">
        <w:rPr>
          <w:rFonts w:ascii="Verdana" w:hAnsi="Verdana" w:cstheme="minorHAnsi"/>
          <w:bCs/>
          <w:sz w:val="20"/>
          <w:szCs w:val="20"/>
        </w:rPr>
        <w:t>cy wezwie do ich z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o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>enia lub uzupe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3D7EEC">
        <w:rPr>
          <w:rFonts w:ascii="Verdana" w:hAnsi="Verdana"/>
          <w:b/>
          <w:sz w:val="20"/>
          <w:szCs w:val="20"/>
        </w:rPr>
        <w:t>24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3D7EEC">
        <w:rPr>
          <w:rFonts w:ascii="Verdana" w:hAnsi="Verdana"/>
          <w:b/>
          <w:sz w:val="20"/>
          <w:szCs w:val="20"/>
        </w:rPr>
        <w:t>01.07.2023r.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bne </w:t>
      </w:r>
      <w:r w:rsidRPr="00782102">
        <w:rPr>
          <w:rFonts w:ascii="Verdana" w:hAnsi="Verdana"/>
          <w:sz w:val="20"/>
          <w:szCs w:val="20"/>
        </w:rPr>
        <w:lastRenderedPageBreak/>
        <w:t>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25ED9" w:rsidRPr="007E11FF" w:rsidRDefault="00A92A51" w:rsidP="007E11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815CF0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D178AB" w:rsidRPr="00D178AB">
        <w:rPr>
          <w:rFonts w:ascii="Verdana" w:hAnsi="Verdana"/>
          <w:sz w:val="20"/>
          <w:szCs w:val="20"/>
        </w:rPr>
        <w:t>Joanna Krajniak-Romanowska</w:t>
      </w:r>
      <w:r w:rsidR="00D178AB">
        <w:rPr>
          <w:rFonts w:ascii="Verdana" w:hAnsi="Verdana"/>
          <w:sz w:val="20"/>
          <w:szCs w:val="20"/>
        </w:rPr>
        <w:t xml:space="preserve"> Tel. 61 66 54 3</w:t>
      </w:r>
      <w:r w:rsidR="002100AB">
        <w:rPr>
          <w:rFonts w:ascii="Verdana" w:hAnsi="Verdana"/>
          <w:sz w:val="20"/>
          <w:szCs w:val="20"/>
        </w:rPr>
        <w:t>46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D14AE5" w:rsidRPr="00D14AE5">
        <w:rPr>
          <w:rFonts w:ascii="Verdana" w:hAnsi="Verdana" w:cs="Arial"/>
          <w:b/>
          <w:sz w:val="20"/>
          <w:szCs w:val="20"/>
          <w:highlight w:val="yellow"/>
        </w:rPr>
        <w:t>06</w:t>
      </w:r>
      <w:r w:rsidR="0052745A" w:rsidRPr="00D14AE5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D14AE5" w:rsidRPr="00D14AE5">
        <w:rPr>
          <w:rFonts w:ascii="Verdana" w:hAnsi="Verdana" w:cs="Arial"/>
          <w:b/>
          <w:sz w:val="20"/>
          <w:szCs w:val="20"/>
          <w:highlight w:val="yellow"/>
        </w:rPr>
        <w:t>07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081A4C" w:rsidRPr="00D14AE5">
        <w:rPr>
          <w:rFonts w:ascii="Verdana" w:hAnsi="Verdana" w:cs="Arial"/>
          <w:b/>
          <w:sz w:val="20"/>
          <w:szCs w:val="20"/>
          <w:highlight w:val="yellow"/>
        </w:rPr>
        <w:t>3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203081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C30522" w:rsidRPr="00C30522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9C1FEB" w:rsidRPr="00C95924" w:rsidRDefault="00C30522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6789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07</w:t>
      </w:r>
      <w:r w:rsidR="00E07808" w:rsidRPr="00E6789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6789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E67892" w:rsidRPr="00E67892">
        <w:rPr>
          <w:rFonts w:ascii="Verdana" w:hAnsi="Verdana"/>
          <w:b/>
          <w:sz w:val="20"/>
          <w:szCs w:val="20"/>
          <w:highlight w:val="yellow"/>
        </w:rPr>
        <w:t>0</w:t>
      </w:r>
      <w:r w:rsidR="00E67892">
        <w:rPr>
          <w:rFonts w:ascii="Verdana" w:hAnsi="Verdana"/>
          <w:b/>
          <w:sz w:val="20"/>
          <w:szCs w:val="20"/>
          <w:highlight w:val="yellow"/>
        </w:rPr>
        <w:t>7</w:t>
      </w:r>
      <w:r w:rsidR="00E07808" w:rsidRPr="00E6789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6789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Cena oferty musi zostać obliczona zgodnie z formularzem </w:t>
      </w:r>
      <w:r w:rsidR="00203081">
        <w:rPr>
          <w:rFonts w:ascii="Verdana" w:hAnsi="Verdana"/>
          <w:sz w:val="20"/>
          <w:szCs w:val="20"/>
        </w:rPr>
        <w:t>ofertowym</w:t>
      </w:r>
      <w:r w:rsidR="00275A94">
        <w:rPr>
          <w:rFonts w:ascii="Verdana" w:hAnsi="Verdana"/>
          <w:sz w:val="20"/>
          <w:szCs w:val="20"/>
        </w:rPr>
        <w:t xml:space="preserve"> </w:t>
      </w:r>
      <w:r w:rsidR="00275A94" w:rsidRPr="00FC1DA8">
        <w:rPr>
          <w:rFonts w:ascii="Verdana" w:hAnsi="Verdana"/>
          <w:sz w:val="20"/>
          <w:szCs w:val="20"/>
        </w:rPr>
        <w:t>(za</w:t>
      </w:r>
      <w:r w:rsidR="00275A94" w:rsidRPr="00FC1DA8">
        <w:rPr>
          <w:rFonts w:ascii="Verdana" w:hAnsi="Verdana" w:hint="cs"/>
          <w:sz w:val="20"/>
          <w:szCs w:val="20"/>
        </w:rPr>
        <w:t>łą</w:t>
      </w:r>
      <w:r w:rsidR="00275A94" w:rsidRPr="00FC1DA8">
        <w:rPr>
          <w:rFonts w:ascii="Verdana" w:hAnsi="Verdana"/>
          <w:sz w:val="20"/>
          <w:szCs w:val="20"/>
        </w:rPr>
        <w:t>cznik nr 2)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0A792D" w:rsidRDefault="00DD5B91" w:rsidP="007E11FF">
      <w:pPr>
        <w:jc w:val="both"/>
        <w:rPr>
          <w:rFonts w:ascii="Verdana" w:hAnsi="Verdana"/>
          <w:bCs/>
          <w:sz w:val="20"/>
          <w:szCs w:val="20"/>
        </w:rPr>
      </w:pPr>
      <w:bookmarkStart w:id="17" w:name="_Toc64559034"/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7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="001A708C">
        <w:rPr>
          <w:rFonts w:ascii="Verdana" w:hAnsi="Verdana"/>
          <w:b/>
          <w:color w:val="auto"/>
          <w:sz w:val="20"/>
          <w:szCs w:val="20"/>
        </w:rPr>
        <w:t xml:space="preserve"> i 4a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Pisma w formie pisemnej wnosi się za pośrednictwem operatora pocztowego, w rozumieniu ustawy z dnia 23 listopada 2012 r. - Prawo pocztowe, osobiście, za pośrednictwem posłańca, a pisma w postaci elektronicznej wnosi się przy użyciu </w:t>
      </w:r>
      <w:r w:rsidRPr="000A792D">
        <w:rPr>
          <w:rFonts w:ascii="Verdana" w:hAnsi="Verdana"/>
          <w:sz w:val="20"/>
          <w:szCs w:val="20"/>
        </w:rPr>
        <w:lastRenderedPageBreak/>
        <w:t>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 xml:space="preserve">e zastrzec informacji, o </w:t>
      </w:r>
      <w:r w:rsidRPr="00275A94">
        <w:rPr>
          <w:rFonts w:ascii="Verdana" w:hAnsi="Verdana"/>
          <w:sz w:val="20"/>
          <w:szCs w:val="20"/>
        </w:rPr>
        <w:lastRenderedPageBreak/>
        <w:t>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203081" w:rsidRPr="00203081">
        <w:rPr>
          <w:rFonts w:ascii="Verdana" w:hAnsi="Verdana" w:cs="Arial"/>
          <w:bCs/>
          <w:sz w:val="20"/>
          <w:szCs w:val="20"/>
        </w:rPr>
        <w:t>opis przedmiotu zamówienia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0C5386" w:rsidP="00203081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</w:t>
      </w:r>
      <w:r w:rsidR="00203081">
        <w:rPr>
          <w:rFonts w:ascii="Verdana" w:hAnsi="Verdana" w:cs="Arial"/>
          <w:bCs/>
          <w:sz w:val="20"/>
          <w:szCs w:val="20"/>
        </w:rPr>
        <w:t xml:space="preserve"> </w:t>
      </w:r>
      <w:r w:rsidR="00203081" w:rsidRPr="00203081">
        <w:rPr>
          <w:rFonts w:ascii="Verdana" w:hAnsi="Verdana" w:cs="Arial"/>
          <w:bCs/>
          <w:sz w:val="20"/>
          <w:szCs w:val="20"/>
        </w:rPr>
        <w:t>formularz ofertowy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63144E">
        <w:rPr>
          <w:rFonts w:ascii="Verdana" w:hAnsi="Verdana" w:cs="Arial"/>
          <w:bCs/>
          <w:sz w:val="20"/>
          <w:szCs w:val="20"/>
        </w:rPr>
        <w:t xml:space="preserve"> i 4a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AF3906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29</w:t>
      </w:r>
      <w:bookmarkStart w:id="26" w:name="_GoBack"/>
      <w:bookmarkEnd w:id="26"/>
      <w:r w:rsidR="003D7EEC">
        <w:rPr>
          <w:rFonts w:ascii="Verdana" w:hAnsi="Verdana" w:cs="Courier New"/>
          <w:sz w:val="20"/>
          <w:szCs w:val="20"/>
        </w:rPr>
        <w:t>.05.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807261">
        <w:rPr>
          <w:rFonts w:ascii="Verdana" w:hAnsi="Verdana" w:cs="Courier New"/>
          <w:sz w:val="20"/>
          <w:szCs w:val="20"/>
        </w:rPr>
        <w:t>3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7E11FF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5" w:right="1417" w:bottom="1417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F0" w:rsidRDefault="00815CF0">
      <w:r>
        <w:separator/>
      </w:r>
    </w:p>
    <w:p w:rsidR="00815CF0" w:rsidRDefault="00815CF0"/>
  </w:endnote>
  <w:endnote w:type="continuationSeparator" w:id="0">
    <w:p w:rsidR="00815CF0" w:rsidRDefault="00815CF0">
      <w:r>
        <w:continuationSeparator/>
      </w:r>
    </w:p>
    <w:p w:rsidR="00815CF0" w:rsidRDefault="00815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6320AF">
      <w:rPr>
        <w:rFonts w:ascii="Times New Roman" w:hAnsi="Times New Roman"/>
        <w:b/>
        <w:noProof/>
        <w:sz w:val="14"/>
        <w:szCs w:val="14"/>
      </w:rPr>
      <w:t>9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6320AF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F0" w:rsidRDefault="00815CF0">
      <w:r>
        <w:separator/>
      </w:r>
    </w:p>
    <w:p w:rsidR="00815CF0" w:rsidRDefault="00815CF0"/>
  </w:footnote>
  <w:footnote w:type="continuationSeparator" w:id="0">
    <w:p w:rsidR="00815CF0" w:rsidRDefault="00815CF0">
      <w:r>
        <w:continuationSeparator/>
      </w:r>
    </w:p>
    <w:p w:rsidR="00815CF0" w:rsidRDefault="00815C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3C6A47">
      <w:t>35</w:t>
    </w:r>
    <w:r>
      <w:t>/2023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47F4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4CD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923"/>
    <w:rsid w:val="007A0A0B"/>
    <w:rsid w:val="007A13A3"/>
    <w:rsid w:val="007A1401"/>
    <w:rsid w:val="007A1798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3CD8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D86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71E82-A470-40EC-A8F2-BE983329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9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22694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435</cp:revision>
  <cp:lastPrinted>2023-05-29T06:57:00Z</cp:lastPrinted>
  <dcterms:created xsi:type="dcterms:W3CDTF">2021-09-20T07:46:00Z</dcterms:created>
  <dcterms:modified xsi:type="dcterms:W3CDTF">2023-05-29T06:57:00Z</dcterms:modified>
</cp:coreProperties>
</file>