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4B" w:rsidRPr="006B672A" w:rsidRDefault="00D9004B" w:rsidP="006B672A">
      <w:pPr>
        <w:pStyle w:val="Nagwek1"/>
        <w:tabs>
          <w:tab w:val="left" w:pos="6600"/>
        </w:tabs>
        <w:spacing w:before="0"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6B672A">
        <w:rPr>
          <w:rFonts w:ascii="Verdana" w:hAnsi="Verdana" w:cs="Arial"/>
          <w:b w:val="0"/>
          <w:sz w:val="20"/>
          <w:szCs w:val="20"/>
        </w:rPr>
        <w:t>WCPiT/EA/381-38/23</w:t>
      </w:r>
      <w:r w:rsidRPr="006B672A">
        <w:rPr>
          <w:rFonts w:ascii="Verdana" w:hAnsi="Verdana" w:cs="Arial"/>
          <w:b w:val="0"/>
          <w:sz w:val="20"/>
          <w:szCs w:val="20"/>
        </w:rPr>
        <w:tab/>
        <w:t>Poznań, 2023-05-30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sz w:val="20"/>
          <w:szCs w:val="20"/>
        </w:rPr>
        <w:t>Uczestnicy postępowania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004B" w:rsidRPr="006B672A" w:rsidRDefault="00D9004B" w:rsidP="006B67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B672A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6B672A">
        <w:rPr>
          <w:rFonts w:ascii="Verdana" w:hAnsi="Verdana" w:cs="Verdana"/>
          <w:b/>
          <w:sz w:val="20"/>
          <w:szCs w:val="20"/>
          <w:lang w:eastAsia="pl-PL"/>
        </w:rPr>
        <w:t xml:space="preserve">"dostawa energii elektrycznej dla Wielkopolskiego Centrum Pulmonologii I Torakochirurgii </w:t>
      </w:r>
      <w:r w:rsidRPr="006B672A">
        <w:rPr>
          <w:rFonts w:ascii="Verdana" w:hAnsi="Verdana" w:cs="Verdana-Identity-H"/>
          <w:b/>
          <w:sz w:val="20"/>
          <w:szCs w:val="20"/>
          <w:lang w:eastAsia="pl-PL"/>
        </w:rPr>
        <w:t xml:space="preserve">– szpitali w Poznaniu, Ludwikowie I Chodzieży łącznie 2 449,78 </w:t>
      </w:r>
      <w:proofErr w:type="spellStart"/>
      <w:r w:rsidRPr="006B672A">
        <w:rPr>
          <w:rFonts w:ascii="Verdana" w:hAnsi="Verdana" w:cs="Verdana-Identity-H"/>
          <w:b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hAnsi="Verdana" w:cs="Verdana-Identity-H"/>
          <w:b/>
          <w:sz w:val="20"/>
          <w:szCs w:val="20"/>
          <w:lang w:eastAsia="pl-PL"/>
        </w:rPr>
        <w:t xml:space="preserve"> na rok z prawem opcji na zwi</w:t>
      </w:r>
      <w:r w:rsidRPr="006B672A">
        <w:rPr>
          <w:rFonts w:ascii="Verdana" w:hAnsi="Verdana" w:cs="Arial"/>
          <w:b/>
          <w:sz w:val="20"/>
          <w:szCs w:val="20"/>
          <w:lang w:eastAsia="pl-PL"/>
        </w:rPr>
        <w:t>ę</w:t>
      </w:r>
      <w:r w:rsidRPr="006B672A">
        <w:rPr>
          <w:rFonts w:ascii="Verdana" w:hAnsi="Verdana" w:cs="Verdana-Identity-H"/>
          <w:b/>
          <w:sz w:val="20"/>
          <w:szCs w:val="20"/>
          <w:lang w:eastAsia="pl-PL"/>
        </w:rPr>
        <w:t xml:space="preserve">kszenie ilości o 10 % tj. 2 694,76 </w:t>
      </w:r>
      <w:proofErr w:type="spellStart"/>
      <w:r w:rsidRPr="006B672A">
        <w:rPr>
          <w:rFonts w:ascii="Verdana" w:hAnsi="Verdana" w:cs="Verdana-Identity-H"/>
          <w:b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hAnsi="Verdana" w:cs="Verdana"/>
          <w:b/>
          <w:sz w:val="20"/>
          <w:szCs w:val="20"/>
          <w:lang w:eastAsia="pl-PL"/>
        </w:rPr>
        <w:t>"</w:t>
      </w:r>
    </w:p>
    <w:p w:rsidR="00D9004B" w:rsidRPr="006B672A" w:rsidRDefault="00D9004B" w:rsidP="006B672A">
      <w:pPr>
        <w:spacing w:after="0" w:line="240" w:lineRule="auto"/>
        <w:ind w:left="-142"/>
        <w:jc w:val="both"/>
        <w:rPr>
          <w:rFonts w:ascii="Verdana" w:hAnsi="Verdana"/>
          <w:b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sz w:val="20"/>
          <w:szCs w:val="20"/>
        </w:rPr>
        <w:t>Zgodnie z art. 135 ust. 2 ustawy Prawo Zamówień Publicznych z dnia 11 września 2019r. (</w:t>
      </w:r>
      <w:proofErr w:type="spellStart"/>
      <w:r w:rsidRPr="006B672A">
        <w:rPr>
          <w:rFonts w:ascii="Verdana" w:hAnsi="Verdana"/>
          <w:sz w:val="20"/>
          <w:szCs w:val="20"/>
        </w:rPr>
        <w:t>t.j</w:t>
      </w:r>
      <w:proofErr w:type="spellEnd"/>
      <w:r w:rsidRPr="006B672A">
        <w:rPr>
          <w:rFonts w:ascii="Verdana" w:hAnsi="Verdana"/>
          <w:sz w:val="20"/>
          <w:szCs w:val="20"/>
        </w:rPr>
        <w:t xml:space="preserve">. </w:t>
      </w:r>
      <w:proofErr w:type="spellStart"/>
      <w:r w:rsidRPr="006B672A">
        <w:rPr>
          <w:rFonts w:ascii="Verdana" w:hAnsi="Verdana"/>
          <w:sz w:val="20"/>
          <w:szCs w:val="20"/>
        </w:rPr>
        <w:t>Dz.U</w:t>
      </w:r>
      <w:proofErr w:type="spellEnd"/>
      <w:r w:rsidRPr="006B672A">
        <w:rPr>
          <w:rFonts w:ascii="Verdana" w:hAnsi="Verdana"/>
          <w:sz w:val="20"/>
          <w:szCs w:val="20"/>
        </w:rPr>
        <w:t xml:space="preserve">. z 2019 r. poz. </w:t>
      </w:r>
      <w:r w:rsidRPr="006B672A">
        <w:rPr>
          <w:rFonts w:ascii="Verdana" w:hAnsi="Verdana" w:cs="Arial"/>
          <w:sz w:val="20"/>
          <w:szCs w:val="20"/>
        </w:rPr>
        <w:t>2019 ze zm.</w:t>
      </w:r>
      <w:r w:rsidRPr="006B672A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 oraz na podstawie art. 137 ust.1-2 ustawy Prawo Zamówień Publicznych zmienia treść SWZ.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Rozdział IV SWZ ("Opis przedmiotu zamówienia"), Załącznik nr 1 do SWZ ("OPIS PRZEDMIOTU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Wykonawca zwraca się z prośbą o udzielenie następujących informacji: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a)         Czy Zamawiający posiada aktualnie umowy rozdzielone na umowę sprzedaży energii elektrycznej i umowę na świadczenie usług dystrybucji dla wszystkich PPE?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b)         Czy umowy dystrybucyjne zawarte są na czas nieokreślony dla wszystkich PPE?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c)         Kto jest dotychczasowym sprzedawcą energii elektrycznej dla poszczególnych PPE?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d)         Na jaki okres została zawarta obecna umowa sprzedaży energii elektrycznej?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e)         Czy obowiązujące umowy (umowa) sprzedaży wymagają wypowiedzenia? Jeśli tak, jaki jest okres wypowiedzenia obowiązujących umów sprzedaży energii elektrycznej?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f)          Czy Zamawiający samodzielnie wypowie obowiązujące umowy w terminach pozwalających na skuteczne przeprowadzenie procesu zmiany sprzedawcy, czy też upoważni do tej czynności Wykonawcę?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g)         Czy Zamawiający samodzielnie zawrze umowę o świadczenie usług dystrybucji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w przypadku punktów poboru, dla których obowiązywały dotychczas umowy kompleksowe oraz w przypadku punktów poboru, dla których umowa dystrybucyjna została zawarta na czas określony, w termie umożliwiającym skuteczne przeprowadzenie procedury zmiany sprzedawcy 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h)         Czy Zamawiający upoważni Wykonawcę do zawarcia umowy dystrybucyjnej z OSD na podstawie oświadczenia woli, zawartego w udzielonym przez siebie pełnomocnictwie, na warunkach zgodnych z aktualnie obowiązującymi?</w:t>
      </w:r>
    </w:p>
    <w:p w:rsidR="00D9004B" w:rsidRPr="006B672A" w:rsidRDefault="00D9004B" w:rsidP="006B672A">
      <w:pPr>
        <w:spacing w:after="0" w:line="240" w:lineRule="auto"/>
        <w:ind w:left="426" w:hanging="426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i)           Czy Zamawiający ma zawarte umowy/ aneksy w ramach akcji promocyjnych lojalnościowych, które uniemożliwiają zawarcie nowej umowy sprzedażowej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w terminach przewidzianych w SWZ? Jeśli tak - jakie są terminy wypowiedzeń umów/aneksów w ramach akcji promocyjnych/programów lojalnościowych ?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Zamawiający udziela następujących informacji: 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iCs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Zamawiający posiada aktualne umowy rozdzielone na  umowę sprzedaży energii elektrycznej i umowę na świadczenie usług dystrybucji. 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iCs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>Zamawiający informuje iż, aktualne umowy dystrybucyjne są zawarte na czas nieokreślony.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iCs/>
          <w:sz w:val="20"/>
          <w:szCs w:val="20"/>
        </w:rPr>
      </w:pPr>
      <w:r w:rsidRPr="006B672A">
        <w:rPr>
          <w:rFonts w:ascii="Verdana" w:hAnsi="Verdana"/>
          <w:b/>
          <w:sz w:val="20"/>
          <w:szCs w:val="20"/>
        </w:rPr>
        <w:lastRenderedPageBreak/>
        <w:t xml:space="preserve">Dotychczasowy sprzedawca energii elektrycznej to: </w:t>
      </w:r>
      <w:r w:rsidRPr="006B672A">
        <w:rPr>
          <w:rFonts w:ascii="Verdana" w:hAnsi="Verdana"/>
          <w:b/>
          <w:iCs/>
          <w:sz w:val="20"/>
          <w:szCs w:val="20"/>
        </w:rPr>
        <w:t>ENEA S.A.  z siedzibą w Poznaniu 60-198, przy ul. Pastelowej 8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iCs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>Zamawiający informuje że, obecna umowa sprzedaży została zawarta na okres 9 miesięcy i kończy się dnia</w:t>
      </w:r>
      <w:r w:rsidR="006B672A" w:rsidRPr="006B672A">
        <w:rPr>
          <w:rFonts w:ascii="Verdana" w:hAnsi="Verdana"/>
          <w:b/>
          <w:iCs/>
          <w:sz w:val="20"/>
          <w:szCs w:val="20"/>
        </w:rPr>
        <w:t xml:space="preserve"> </w:t>
      </w:r>
      <w:r w:rsidRPr="006B672A">
        <w:rPr>
          <w:rFonts w:ascii="Verdana" w:hAnsi="Verdana"/>
          <w:b/>
          <w:iCs/>
          <w:sz w:val="20"/>
          <w:szCs w:val="20"/>
        </w:rPr>
        <w:t>31.07.2023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iCs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>Obowiązująca umowa sprzedaży nie wymaga wypowiedzenia.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6B672A">
        <w:rPr>
          <w:rFonts w:ascii="Verdana" w:hAnsi="Verdana"/>
          <w:b/>
          <w:sz w:val="20"/>
          <w:szCs w:val="20"/>
        </w:rPr>
        <w:t>Za procedurę zmiany sprzedawcy energii elektrycznej odpowiada wykonawca z którym zostanie podpisana umowa. Zamawiający przekaże niezbędne dokumenty w wersji elektronicznej najpóźniej w dniu podpisania umowy w celu skutecznej zmiany sprzedawcy energii elektrycznej.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6B672A">
        <w:rPr>
          <w:rFonts w:ascii="Verdana" w:hAnsi="Verdana"/>
          <w:b/>
          <w:sz w:val="20"/>
          <w:szCs w:val="20"/>
        </w:rPr>
        <w:t>Zamawiający nie ma potrzeby samodzielnego zawierania umowy o świadczenie usług dystrybucji. Umowa dystrybucji została zawarta na czas nieokreślony.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6B672A">
        <w:rPr>
          <w:rFonts w:ascii="Verdana" w:hAnsi="Verdana"/>
          <w:b/>
          <w:sz w:val="20"/>
          <w:szCs w:val="20"/>
        </w:rPr>
        <w:t>Zamawiający</w:t>
      </w:r>
      <w:r w:rsidR="006B672A" w:rsidRPr="006B672A">
        <w:rPr>
          <w:rFonts w:ascii="Verdana" w:hAnsi="Verdana"/>
          <w:b/>
          <w:sz w:val="20"/>
          <w:szCs w:val="20"/>
        </w:rPr>
        <w:t xml:space="preserve"> </w:t>
      </w:r>
      <w:r w:rsidRPr="006B672A">
        <w:rPr>
          <w:rFonts w:ascii="Verdana" w:hAnsi="Verdana"/>
          <w:b/>
          <w:sz w:val="20"/>
          <w:szCs w:val="20"/>
        </w:rPr>
        <w:t>nie ma potrzeby samodzielnego zawierania umowy o świadczenie usług dystrybucji. Umowa dystrybucji została zawarta na czas nieokreślony.</w:t>
      </w:r>
    </w:p>
    <w:p w:rsidR="00D9004B" w:rsidRPr="006B672A" w:rsidRDefault="00D9004B" w:rsidP="006B672A">
      <w:pPr>
        <w:pStyle w:val="Akapitzlist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6B672A">
        <w:rPr>
          <w:rFonts w:ascii="Verdana" w:hAnsi="Verdana"/>
          <w:b/>
          <w:sz w:val="20"/>
          <w:szCs w:val="20"/>
        </w:rPr>
        <w:t xml:space="preserve">Zamawiający  nie ma zawartych umowy/ aneksów w ramach akcji promocyjnych lojalnościowych, które uniemożliwiają zawarcie nowej umowy sprzedażowej w terminach przewidzianych w SWZ. 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2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 Załącznik nr 1 do SWZ ("OPIS PRZEDMIOTU ZAMÓWIENIA"), Rozdział IV SWZ ("Opis przedmiotu zamówienia")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Zwracamy się z zapytaniem, czy Zamawiający przekaże niezbędne dane w wersji elektronicznej Excel oraz dokumenty do przeprowadzenia procedury zmiany sprzedawcy najpóźniej w dniu podpisania umowy? Dokument zawierający niezbędne dane stanowić będzie również załącznik do umowy.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Wyłoniony Wykonawca będzie potrzebował do przeprowadzenia zmiany sprzedawcy: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u w:val="single"/>
          <w:lang w:eastAsia="pl-PL"/>
        </w:rPr>
        <w:t>a) danych dla każdego punktu poboru: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- nazwa i adres firmy;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opis punktu poboru;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adres punktu poboru (miejscowość, ulica, numer lokalu, kod, gmina);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grupa taryfowa 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planowane roczne zużycie energii;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- numer licznika;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Operator Systemu Dystrybucyjnego;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nazwa dotychczasowego Sprzedawcy;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numer aktualnie obowiązującej umowy;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data zawarcia oraz okres wypowiedzenia dotychczasowej umowy;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numer ewidencyjny PPE;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czy jest to pierwsza czy kolejna zmiana sprzedawcy;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wybranego przez Zamawiającego sprzedawcę rezerwowego;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u w:val="single"/>
          <w:lang w:eastAsia="pl-PL"/>
        </w:rPr>
        <w:t>b) dokumentów dla każdej jednostki objętej postępowaniem: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- pełnomocnictwo do zgłoszenia umowy do OSD wraz z upoważnieniem OSD do zawarcia umowy rezerwowej ze wskazanym sprzedawcą rezerwowym w sytuacjach określonych w ustawie prawo energetyczne;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dokument nadania numeru NIP;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dokument nadania numeru REGON;</w:t>
      </w:r>
      <w:r w:rsidR="006B67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- KRS lub inny dokument na podstawie którego działa dana jednostka;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- dokument potwierdzający umocowanie danej osoby do podpisania umowy sprzedaży energii elektrycznej oraz pełnomocnictwa.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Jednocześnie informujemy, że OSD może odrzucić zgłoszenia umów sprzedaży zawierające błędne dane, skutkiem czego może okazać się konieczność zakupu energii przez Zamawiającego od tzw. sprzedawcy rezerwowego, o którym mowa w art. 3 ust. 29a ustawy Prawo energetyczne.  </w:t>
      </w:r>
    </w:p>
    <w:p w:rsidR="006B672A" w:rsidRPr="006B672A" w:rsidRDefault="006B672A" w:rsidP="006B672A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 xml:space="preserve">Zamawiający potwierdza, że przekaże niezbędne dane w wersji elektronicznej Excel oraz dokumenty do przeprowadzenia procedury zmiany </w:t>
      </w:r>
      <w:r w:rsidRPr="006B672A">
        <w:rPr>
          <w:rFonts w:ascii="Verdana" w:hAnsi="Verdana"/>
          <w:b/>
          <w:sz w:val="20"/>
          <w:szCs w:val="20"/>
        </w:rPr>
        <w:lastRenderedPageBreak/>
        <w:t>sprzedawcy najpóźniej w dniu podpisania umowy. Za procedurę zmiany sprzedawcy energii elektrycznej odpowiada wykonawca z którym zostanie podpisana umowa.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3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§9 ust. 5 Załącznika nr 5 do SWZ ("UMOWA (WZÓR) NOWY"), Rozdział VI ("Termin wykonania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Czy Zamawiający udzieli Wykonawcy stosownego pełnomocnictwa do zgłoszenia w imieniu Zamawiającego zawartej umowy sprzedaży energii elektrycznej do OSD oraz wykonania czynności niezbędnych do przeprowadzenia procesu zmiany sprzedawcy u OSD wg wzoru stosowanego powszechnie przez Wykonawcę (druk w załączeniu)? W przypadku braku zgody na powyższe proszę o wyjaśnienie czy Zamawiający ponosił będzie odpowiedzialność za treść przedstawionego wzoru pełnomocnictwa i za jego ewentualne zakwestionowanie przez OSD?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Równocześnie zwracam się z prośbą o załączenie (udostępnienie) wzoru Pełnomocnictwa do zgłoszenia umowy. 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Zamawiający przedstawi treść pełnomocnictwa do zgłoszenia w imieniu Zamawiającego zawartej umowy sprzedaży energii elektrycznej do OSD oraz wykonywania czynności niezbędnych do przeprowadzenia procesu zmiany 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>sprzedawcy w OSD, za którego treść Zamawiający będzie</w:t>
      </w:r>
      <w:r w:rsidR="006B672A" w:rsidRPr="006B672A">
        <w:rPr>
          <w:rFonts w:ascii="Verdana" w:hAnsi="Verdana"/>
          <w:b/>
          <w:iCs/>
          <w:sz w:val="20"/>
          <w:szCs w:val="20"/>
        </w:rPr>
        <w:t xml:space="preserve"> </w:t>
      </w:r>
      <w:r w:rsidRPr="006B672A">
        <w:rPr>
          <w:rFonts w:ascii="Verdana" w:hAnsi="Verdana"/>
          <w:b/>
          <w:iCs/>
          <w:sz w:val="20"/>
          <w:szCs w:val="20"/>
        </w:rPr>
        <w:t>ponosił odpowiedzialność. Dokument udostępniony zostanie po wyborze Wykonawcy.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4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§9 ust. 4 Załącznika nr 5 do SWZ ("UMOWA (WZÓR) NOWY"), Rozdział VI SWZ ("Termin wykonania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Informujemy, że zgodnie z zapisami Instrukcji Ruchu i Eksploatacji Sieci Dystrybucyjnej (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IRiESD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>) poszczególnych OSD, zatwierdzonych przez Prezesa URE, do rozpoczęcia sprzedaży energii elektrycznej konieczne jest zgłoszenie umowy do OSD, przeprowadzenie procesu zmiany sprzedawcy oraz przyjęcie umowy do realizacji przez OSD.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Równocześnie termin realizacji zamówienia musi być wskazany precyzyjnie już na etapie wszczęcia postępowania (w ogłoszeniu i w SWZ), celem umożliwienia wykonawcom złożenia porównywalnych ofert opartych o rzetelną kalkulację cenową. Inaczej zamówienie nie jest udzielane z przestrzeganiem zasad jego udzielania w postaci zapewnienia zachowania uczciwej konkurencji oraz równego traktowanie wykonawców oraz przejrzystości.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W związku z powyższym, uprzejmie proszę o uszczegółowienie terminu realizacji zamówienia, poprzez podanie terminu rozpoczęcia (01.08.2023 r.) i zakończenia realizacji zamówienia (data 31.07.2024 r. winna być datą końca umowy/końca realizacji zamówienia) oraz o modyfikację/ujednolicenie zapisów do treści: 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„1. Umowa wchodzi w życie w zakresie każdego punktu poboru z dniem 01.08.2023 r., lecz nie wcześniej, niż </w:t>
      </w:r>
      <w:r w:rsidRPr="006B672A">
        <w:rPr>
          <w:rFonts w:ascii="Verdana" w:eastAsia="Times New Roman" w:hAnsi="Verdana"/>
          <w:bCs/>
          <w:i/>
          <w:iCs/>
          <w:sz w:val="20"/>
          <w:szCs w:val="20"/>
          <w:lang w:eastAsia="pl-PL"/>
        </w:rPr>
        <w:t xml:space="preserve">po zawarciu umów dystrybucyjnych, po pozytywnie przeprowadzonej procedurze zmiany sprzedawcy i przyjęciu umowy do realizacji przez OSD. </w:t>
      </w:r>
      <w:r w:rsidRPr="006B672A">
        <w:rPr>
          <w:rFonts w:ascii="Verdana" w:eastAsia="Times New Roman" w:hAnsi="Verdana"/>
          <w:i/>
          <w:iCs/>
          <w:sz w:val="20"/>
          <w:szCs w:val="20"/>
          <w:lang w:eastAsia="pl-PL"/>
        </w:rPr>
        <w:t>Umowa niniejsza zawarta zostaje na czas określony do dnia 31.07.2024 r.</w:t>
      </w:r>
      <w:r w:rsidRPr="006B672A"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>".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lastRenderedPageBreak/>
        <w:t xml:space="preserve">Pytanie 5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§4, §9 ust. 5 Załącznika nr 5 do SWZ ("UMOWA (WZÓR) NOWY"), Załącznik nr 1 do SWZ ("OPIS PRZEDMIOTU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Wykonawca zwraca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sią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z prośbą o udzielenie informacji, czy podane przez Zamawiającego w Załączniku nr 1 do SWZ i w §4 Załącznika nr 5 do SWZ parametry dystrybucyjne – w szczególności moc umowna i grupa taryfowa, są zgodne z aktualnymi umowami dystrybucyjnymi oraz dokumentami potwierdzającymi możliwość świadczenia usług dystrybucji, wydanymi przez właściwego OSD?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Jednocześnie informujemy, że zawarcie umów o świadczenie usług dystrybucji może nastąpić na obecnych parametrach. Zmiana parametrów dystrybucyjnych nie jest częścią procesu zmiany sprzedawcy. 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Równocześnie mając na względzie zobowiązanie Wykonawcy wskazane w §9 ust. 5 Załącznika nr 5 do SWZ ("UMOWA (WZÓR) NOWY"), Wykonawca zwraca się do Zamawiającego z prośbą o uwzględnienie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 równoważnego zapisu dotyczącego zobowiązania Zamawiającego o treści </w:t>
      </w:r>
      <w:r w:rsidRPr="006B672A">
        <w:rPr>
          <w:rFonts w:ascii="Verdana" w:eastAsia="Times New Roman" w:hAnsi="Verdana"/>
          <w:bCs/>
          <w:i/>
          <w:iCs/>
          <w:sz w:val="20"/>
          <w:szCs w:val="20"/>
          <w:lang w:eastAsia="pl-PL"/>
        </w:rPr>
        <w:t>„Zamawiający ponosi odpowiedzialność za terminowość i poprawność przekazanych danych i dokumentów niezbędnych do przeprowadzenia procedury zmiany sprzedawcy."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Informuję, że odpowiedzialność za terminowość i prawidłowość przekazanych danych niezbędnych do przeprowadzenia procedury zmiany sprzedawcy, dotyczących poszczególnych punktów poboru energii leży wyłącznie po stronie Zamawiającego. 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SWZ i projektowanych postanowień umowy bez zmian.</w:t>
      </w:r>
    </w:p>
    <w:p w:rsidR="00D9004B" w:rsidRPr="006B672A" w:rsidRDefault="00D9004B" w:rsidP="006B672A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</w:p>
    <w:p w:rsidR="00D9004B" w:rsidRPr="006B672A" w:rsidRDefault="00D9004B" w:rsidP="006B672A">
      <w:pPr>
        <w:pStyle w:val="Nagwek1"/>
        <w:spacing w:before="0" w:after="0" w:line="240" w:lineRule="auto"/>
        <w:jc w:val="both"/>
        <w:rPr>
          <w:rFonts w:ascii="Verdana" w:hAnsi="Verdana"/>
          <w:b w:val="0"/>
          <w:sz w:val="20"/>
          <w:szCs w:val="20"/>
          <w:lang w:eastAsia="pl-PL"/>
        </w:rPr>
      </w:pPr>
      <w:r w:rsidRPr="006B672A">
        <w:rPr>
          <w:rFonts w:ascii="Verdana" w:hAnsi="Verdana" w:cs="Tahoma"/>
          <w:bCs w:val="0"/>
          <w:sz w:val="20"/>
          <w:szCs w:val="20"/>
        </w:rPr>
        <w:t>Pytanie nr 6</w:t>
      </w:r>
      <w:r w:rsidR="006B672A">
        <w:rPr>
          <w:rFonts w:ascii="Verdana" w:hAnsi="Verdana" w:cs="Tahoma"/>
          <w:bCs w:val="0"/>
          <w:sz w:val="20"/>
          <w:szCs w:val="20"/>
        </w:rPr>
        <w:t xml:space="preserve"> </w:t>
      </w:r>
      <w:r w:rsidRPr="006B672A">
        <w:rPr>
          <w:rFonts w:ascii="Verdana" w:hAnsi="Verdana"/>
          <w:b w:val="0"/>
          <w:color w:val="000000"/>
          <w:sz w:val="20"/>
          <w:szCs w:val="20"/>
          <w:u w:val="single"/>
          <w:lang w:eastAsia="pl-PL"/>
        </w:rPr>
        <w:t>§5 ust. 2 lit a), §8 ust. 2, §1 pkt. 5, §9 ust. 6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Wykonawca informuje, iż w świetle przepisów prawa energetycznego i aktów wykonawczych, to OSD jest podmiotem odpowiedzialnym za pozyskiwanie i przekazywanie do sprzedawców danych pomiarowo - rozliczeniowych (również skorygowanych danych pomiarowych na skutek stwierdzenia błędów w pomiarze lub odczycie) dla punktów poboru energii (PPE). Sposób ustalania danych przez OSD określony jest w umowie dystrybucyjnej zawartej pomiędzy Zamawiającym a OSD. Wykonawcy (Sprzedawcy energii) nie mają wpływu na regulacje w tym zakresie wynikające z umów dystrybucyjnych Zamawiającego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 xml:space="preserve">i zgodnie z przepisami przyjmują do rozliczeń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dane przekazane przez OSD za wskazany przez OSD okres.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W związku z powyższym zwracamy się z prośbą o wyjaśnienie czy Zamawiający uwzględni obowiązujące przepisy prawa energetycznego i aktów wykonawczych w zakresie prowadzenia rozliczeń na podstawie danych pomiarowo- rozliczeniowych udostępnionych (przekazywanych) wykonawcy przez OSD za wskazany przez OSD okres?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Wobec powyższego Wykonawca wnosi o modyfikację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§5 ust. 2 lit a), §8 ust. 2 Załącznika nr 5 do SWZ do treści: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„2. Rozliczenia między Stronami za sprzedaną w ramach Umowy energię odbywać się będą na podstawie: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a) ilości energii ustalonych na podstawie danych pomiarowo-rozliczeniowych uzyskanych z układów pomiarowo-rozliczeniowych wymienionych w Tabeli nr 2 w § 4</w:t>
      </w: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br/>
        <w:t>i udostępnionych Sprzedawcy przez OSD za wskazany okres rozliczeniowy określony przez Zamawiającego w SWZ;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(...)";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„2. Sprzedawca dokonuje korekty uprzednio wystawionych faktur VAT w przypadku: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lastRenderedPageBreak/>
        <w:t>a) udostępnienia przez OSD skorygowanych danych pomiarowo-rozliczeniowych za wskazany przez OSD okres,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b) przyjęcia do rozliczeń danych pomiarowo-rozliczeniowych niezgodnych ze stanem faktycznym,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c) przyjęcia do rozliczeń błędnych cen lub stawek opłat.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oraz modyfikację §1 pkt. 5: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„Okres rozliczeniowy – przedział czasowy pomiędzy dwoma kolejnymi odczytami rozliczeniowymi układu pomiarowo-rozliczeniowego – zgodny z okresem rozliczeniowym wskazanym przez OSD i określonym przez Zamawiającego w SWZ."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i modyfikację §9 ust. 6</w:t>
      </w: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 xml:space="preserve"> „Rozpoczęcie sprzedaży energii następuje po przyjęciu do realizacji Umowy przez OSD"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7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§5 ust. 10 Załącznika nr 5 do SWZ ("UMOWA (WZÓR) NOWY")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Z uwagi na fakt, że faktury VAT są wysyłane listem zwykłym, Wykonawca nie jest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 xml:space="preserve">w stanie określić, w jakim terminie Zamawiający otrzyma fakturę, co może powodować komplikacje przy ustalaniu prawidłowego terminu płatności. Ponadto, w świetle przepisów podatkowych określenie terminu płatności na ilość dni liczoną od dnia otrzymania faktury nie pozwala ustalić prawidłowej daty powstania obowiązku podatkowego, w konsekwencji narażając Wykonawcę na sankcje skarbowe z tytułu nieterminowego odprowadzenia podatku VAT.  Art. 19a ust. 5 pkt. 4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ppkt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. a) ustawy z dnia 11 marca 2004r. o podatku od towarów i usług (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Dz.U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. 2018 poz. 2174 ze zm.) stanowi, iż w przypadku dostaw energii elektrycznej obowiązek podatkowy powstaje z chwilą wystawienia faktury. </w:t>
      </w:r>
    </w:p>
    <w:p w:rsidR="00D9004B" w:rsidRPr="006B672A" w:rsidRDefault="00D9004B" w:rsidP="006B672A">
      <w:pPr>
        <w:spacing w:after="0" w:line="24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Równocześnie Wykonawca informuje, że wskazany przez Zamawiającego termin na wystawienie faktury w terminie do 14 dni po zakończeniu każdego okresu rozliczeniowego może nie zostać dotrzymany z uwagi na fakt, iż Sprzedawca nie ma wiedzy dotyczącej długości trwania okresu rozliczeniowego - nie zawsze pokrywa się on z miesiącem kalendarzowym, natomiast OSD może udostępnić dane pomiarowo-rozliczeniowe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w terminie uniemożliwiającym terminowe wystawienie faktury np. po 14 dniach od zakończenia okresu rozliczeniowego.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 związku z powyższym zwracamy się do Zamawiającego z zapytaniem, czy zgadza się na zmodyfikowanie przedmiotowego zapisu w następujący sposób: 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Cs/>
          <w:i/>
          <w:iCs/>
          <w:color w:val="000000"/>
          <w:sz w:val="20"/>
          <w:szCs w:val="20"/>
          <w:lang w:eastAsia="pl-PL"/>
        </w:rPr>
        <w:t xml:space="preserve">Strony zgodnie ustalają następujący sposób rozliczeń: 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Cs/>
          <w:i/>
          <w:iCs/>
          <w:color w:val="000000"/>
          <w:sz w:val="20"/>
          <w:szCs w:val="20"/>
          <w:lang w:eastAsia="pl-PL"/>
        </w:rPr>
        <w:t>a) w terminie 14 dni od udostępnienia (otrzymania) danych pomiarowo-rozliczeniowych przez OSD Sprzedawca wystawi fakturę obejmującą należności za dany okres rozliczeniowy;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Cs/>
          <w:i/>
          <w:iCs/>
          <w:color w:val="000000"/>
          <w:sz w:val="20"/>
          <w:szCs w:val="20"/>
          <w:lang w:eastAsia="pl-PL"/>
        </w:rPr>
        <w:t>b) faktura płatna będzie w terminie 37 dni od daty wystawienia faktury, jednak nie dłuższym niż 30 dni od jej otrzymania przez Kupującego. Fakt udokumentowania wpływu faktury w terminie krótszym niż 30 dni od terminu płatności ciąży na Kupującym."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 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8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§5 ust. 10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Czy Zamawiający dopuszcza wystawianie faktur zbiorczych </w:t>
      </w:r>
      <w:r w:rsidRPr="006B672A">
        <w:rPr>
          <w:rFonts w:ascii="Verdana" w:eastAsia="Times New Roman" w:hAnsi="Verdana"/>
          <w:sz w:val="20"/>
          <w:szCs w:val="20"/>
          <w:u w:val="single"/>
          <w:lang w:eastAsia="pl-PL"/>
        </w:rPr>
        <w:t>nie dla wszystkich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 punktów poboru energii elektrycznej PPE (w przypadku nie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udostepnienia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 danych pomiarowo-rozliczeniowych przez OSD dla wszystkich PPE jednocześnie w tym samym czasie, bądź w przypadku gdy PPE mają zróżnicowane okresy rozliczeniowe)? Wówczas wystawiona faktura nie będzie uwzględniała wszystkich wymienionych punktów poboru.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l-PL"/>
        </w:rPr>
        <w:t xml:space="preserve">Pytanie 9 – </w:t>
      </w:r>
      <w:r w:rsidRPr="006B672A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l-PL"/>
        </w:rPr>
        <w:t>§5 ust. 2, lit b) Załącznika nr 5 do SWZ ("UMOWA (WZÓR) NOWY"), Załącznik nr 2b do SWZ ("Formularz asortymentowo-cenowy") – Załącznik nr 1 do umowy („formularz cenowy")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Wykonawca informuje, iż jednostką energii elektrycznej powszechnie stosowaną w rozliczeniach dla punktów poboru w grupach taryfowych: C21 i C22a jest </w:t>
      </w: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kilowatogodzina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[</w:t>
      </w:r>
      <w:proofErr w:type="spellStart"/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kWh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].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Czy Zamawiający dopuszcza / wyraża zgodę na prowadzenie rozliczeń energii elektrycznej dla punktów w ww. grupach taryfowych w jednostkach im dedykowanych, tj. wyrażonych w </w:t>
      </w: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zł/</w:t>
      </w:r>
      <w:proofErr w:type="spellStart"/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kWh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netto </w:t>
      </w:r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 xml:space="preserve">(1 MWh=1000 </w:t>
      </w:r>
      <w:proofErr w:type="spellStart"/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>kWh</w:t>
      </w:r>
      <w:proofErr w:type="spellEnd"/>
      <w:r w:rsidRPr="006B672A">
        <w:rPr>
          <w:rFonts w:ascii="Verdana" w:eastAsia="Times New Roman" w:hAnsi="Verdana"/>
          <w:i/>
          <w:iCs/>
          <w:color w:val="000000"/>
          <w:sz w:val="20"/>
          <w:szCs w:val="20"/>
          <w:lang w:eastAsia="pl-PL"/>
        </w:rPr>
        <w:t xml:space="preserve">)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tożsamychz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ceną jednostkową określoną</w:t>
      </w:r>
      <w:r w:rsid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w formularzu cenowym wyrażoną w zł/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Informujemy, że brak zgody na powyższe może stanowić ograniczenie zasady uczciwej konkurencji z uwagi na ograniczenie możliwości złożenia oferty wykonawcom, którzy są zdolni do wykonania zamówienia poprzez stawianie przez Zamawiającego w SWZ wymogów, które spełni tylko ograniczona liczba Wykonawców.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b/>
          <w:iCs/>
          <w:color w:val="FF0000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Zamawiający modyfikuje zapisy załącznika nr 2b formularz asortymentowo-cenowy, uwzględniając informację iż jednostką energii elektrycznej powszechnie stosowaną w rozliczeniach dla punktów poboru w grupach taryfowych </w:t>
      </w:r>
      <w:proofErr w:type="spellStart"/>
      <w:r w:rsidRPr="006B672A">
        <w:rPr>
          <w:rFonts w:ascii="Verdana" w:hAnsi="Verdana"/>
          <w:b/>
          <w:sz w:val="20"/>
          <w:szCs w:val="20"/>
        </w:rPr>
        <w:t>Bxx</w:t>
      </w:r>
      <w:proofErr w:type="spellEnd"/>
      <w:r w:rsidRPr="006B672A">
        <w:rPr>
          <w:rFonts w:ascii="Verdana" w:hAnsi="Verdana"/>
          <w:b/>
          <w:sz w:val="20"/>
          <w:szCs w:val="20"/>
        </w:rPr>
        <w:t xml:space="preserve"> (B21, B22, B23) jest Megawatogodzina [</w:t>
      </w:r>
      <w:proofErr w:type="spellStart"/>
      <w:r w:rsidRPr="006B672A">
        <w:rPr>
          <w:rFonts w:ascii="Verdana" w:hAnsi="Verdana"/>
          <w:b/>
          <w:sz w:val="20"/>
          <w:szCs w:val="20"/>
        </w:rPr>
        <w:t>MWh</w:t>
      </w:r>
      <w:proofErr w:type="spellEnd"/>
      <w:r w:rsidRPr="006B672A">
        <w:rPr>
          <w:rFonts w:ascii="Verdana" w:hAnsi="Verdana"/>
          <w:b/>
          <w:sz w:val="20"/>
          <w:szCs w:val="20"/>
        </w:rPr>
        <w:t>], natomiast dla obiektów w grupach taryfowych C2x (C21, C22a) jest kilowatogodzina [</w:t>
      </w:r>
      <w:proofErr w:type="spellStart"/>
      <w:r w:rsidRPr="006B672A">
        <w:rPr>
          <w:rFonts w:ascii="Verdana" w:hAnsi="Verdana"/>
          <w:b/>
          <w:sz w:val="20"/>
          <w:szCs w:val="20"/>
        </w:rPr>
        <w:t>kWh</w:t>
      </w:r>
      <w:proofErr w:type="spellEnd"/>
      <w:r w:rsidRPr="006B672A">
        <w:rPr>
          <w:rFonts w:ascii="Verdana" w:hAnsi="Verdana"/>
          <w:b/>
          <w:sz w:val="20"/>
          <w:szCs w:val="20"/>
        </w:rPr>
        <w:t>].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>Zamawiający umieszcza zmodyfikowany Załącznik nr 2b formularz asortymentowo-cenowy na stronie internetowej pod nazwą „</w:t>
      </w:r>
      <w:r w:rsidRPr="006B672A">
        <w:rPr>
          <w:rFonts w:ascii="Verdana" w:hAnsi="Verdana"/>
          <w:b/>
          <w:iCs/>
          <w:sz w:val="20"/>
          <w:szCs w:val="20"/>
          <w:u w:val="single"/>
        </w:rPr>
        <w:t>30.05.2023</w:t>
      </w:r>
      <w:r w:rsidRPr="006B672A">
        <w:rPr>
          <w:rFonts w:ascii="Verdana" w:hAnsi="Verdana"/>
          <w:b/>
          <w:iCs/>
          <w:color w:val="FF0000"/>
          <w:sz w:val="20"/>
          <w:szCs w:val="20"/>
          <w:u w:val="single"/>
        </w:rPr>
        <w:t xml:space="preserve"> </w:t>
      </w:r>
      <w:r w:rsidRPr="006B672A">
        <w:rPr>
          <w:rFonts w:ascii="Verdana" w:hAnsi="Verdana"/>
          <w:b/>
          <w:iCs/>
          <w:sz w:val="20"/>
          <w:szCs w:val="20"/>
          <w:u w:val="single"/>
        </w:rPr>
        <w:t>Załącznik nr 2b formularz asortymentowo-cenowy”.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10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§5 ust. 12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Wykonawca zwraca się z wnioskiem o zgodę na udostępnianie Zamawiającemu faktur VAT za pośrednictwem kanałów elektronicznych na podany adres poczty elektronicznej, zgodnie z ustawą z dnia 11 marca 2004 r. o podatku od towarów i usług (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Dz.U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. 2022 poz. 931 z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. zm.), </w:t>
      </w:r>
      <w:r w:rsidRPr="006B672A">
        <w:rPr>
          <w:rFonts w:ascii="Verdana" w:eastAsia="Times New Roman" w:hAnsi="Verdana"/>
          <w:sz w:val="20"/>
          <w:szCs w:val="20"/>
          <w:u w:val="single"/>
          <w:lang w:eastAsia="pl-PL"/>
        </w:rPr>
        <w:t>na zasadach określonych w Regulaminie Wykonawcy przesyłania faktur VAT za pośrednictwem kanałów elektronicznych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, przy jednoczesnej zgodzie na otrzymywanie informacji o tych fakturach. Powyższa zgoda zwolniłaby Wykonawcę z obowiązku wystawiania i dostarczania faktur VAT w formie papierowej. Dzięki temu rozwiązaniu Zamawiający otrzyma dokument w momencie jego wystawienia, zniwelowane zostanie ryzyko niedostarczenia przesyłki lub znacznego opóźnienia w jej dostarczeniu. Zmiana formy dostarczania faktur ma również aspekt ekologiczny, przyczyni się do wspólnego dbania o środowisko naturalne poprzez zmniejszenie zapotrzebowania na produkcję papieru i ograniczenie transportu.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lastRenderedPageBreak/>
        <w:t> </w:t>
      </w: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11 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Załącznik nr 1 do SWZ ("OPIS PRZEDMIOTU ZAMÓWIENIA"), Rozdział IV SWZ ("Opis przedmiotu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Informujemy, że Wykonawca w procesie fakturowania opiera się na danych pomiarowo-rozliczeniowych przekazywanych przez Operatora Systemu Dystrybucyjnego, jednak w swoim bilingu parametryzuje długość trwania okresu rozliczeniowego. W związku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br/>
        <w:t>z powyższym proszę o potwierdzenie okresu rozliczeniowego w odniesieniu do każdego PPE występującego w postępowaniu: czy wynosi on 1 miesiąc? Czy 1-miesięczny okres rozliczeniowy jest zgodny z miesiącem kalendarzowym dla każdego PPE?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 </w:t>
      </w: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12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Rozdział XX,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 1 SWZ ("Informacje o formalnościach, ...)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Czy Zamawiający dopuszcza możliwość podpisania umowy drogą korespondencyjną poprzez przesłanie dokumentu jednostronnie podpisanej umowy (wraz z niezbędnymi do jej zgłoszenia dokumentami) do Wykonawcy?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Czy Zamawiający dopuszcza możliwość podpisania umowy drogą elektroniczną z wykorzystaniem kwalifikowanego podpisu elektronicznego?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Czy Zamawiający przygotuje ww. dokument umowy?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 xml:space="preserve">Zamawiający wyraża zgodę na podpisanie umowy drogą korespondencyjną a także dopuszcza podpisanie umowy drogą elektroniczną. </w:t>
      </w:r>
      <w:r w:rsidRPr="006B672A">
        <w:rPr>
          <w:rFonts w:ascii="Verdana" w:eastAsia="Times New Roman" w:hAnsi="Verdana" w:cstheme="majorHAnsi"/>
          <w:b/>
          <w:color w:val="000000" w:themeColor="text1"/>
          <w:sz w:val="20"/>
          <w:szCs w:val="20"/>
        </w:rPr>
        <w:t>Zamawiający przygotuje niezbędne dokumenty umowy.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13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Załącznik nr 2b do SWZ ("Formularz asortymentowo-cenowy"), Załącznik nr 1 do SWZ ("OPIS PRZEDMIOTU ZAMÓWIENIA"), Rozdział IV SWZ ("Opis przedmiotu zamówienia"), 2 ust. 3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Wykonawca zwraca się z prośbą o weryfikację przedmiotu zamówienia w zakresie podanej ilości energii objętej przedmiotem zamówienia. W Załącznik nr 2b do SWZ ("Formularz asortymentowo-cenowy") oraz w Załączniku nr 1 do SWZ ("OPIS PRZEDMIOTU ZAMÓWIENIA") wskazano sumaryczne ilości: 2 454,780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, natomiast w Rozdział IV SWZ ("Opis przedmiotu zamówienia"), §2 ust. 3 Załącznika nr 5 do SWZ ("UMOWA (WZÓR) NOWY"), tytule SWZ oraz tytułach poszczególnych Załączników 2 449,78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 (prawdopodobnie nie został ujęty wolumen PPE w grupie taryfowej C21 – 5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>).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Czy prawo opcji zakładające zwiększenie ilości o 10 % będzie uwzględniało wolumen 2 694,76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 czy 2700,26 </w:t>
      </w:r>
      <w:proofErr w:type="spellStart"/>
      <w:r w:rsidRPr="006B672A">
        <w:rPr>
          <w:rFonts w:ascii="Verdana" w:eastAsia="Times New Roman" w:hAnsi="Verdana"/>
          <w:sz w:val="20"/>
          <w:szCs w:val="20"/>
          <w:lang w:eastAsia="pl-PL"/>
        </w:rPr>
        <w:t>MWh</w:t>
      </w:r>
      <w:proofErr w:type="spellEnd"/>
      <w:r w:rsidRPr="006B672A">
        <w:rPr>
          <w:rFonts w:ascii="Verdana" w:eastAsia="Times New Roman" w:hAnsi="Verdana"/>
          <w:sz w:val="20"/>
          <w:szCs w:val="20"/>
          <w:lang w:eastAsia="pl-PL"/>
        </w:rPr>
        <w:t>?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6B672A">
        <w:rPr>
          <w:rFonts w:ascii="Verdana" w:hAnsi="Verdana" w:cstheme="minorHAnsi"/>
          <w:b/>
          <w:sz w:val="20"/>
          <w:szCs w:val="20"/>
        </w:rPr>
        <w:t>Odpowiedź: Ilości w  załącznikach na które zwrócił uwagę Wykonawca, są właściwe.</w:t>
      </w:r>
      <w:r w:rsidR="006B672A" w:rsidRPr="006B672A">
        <w:rPr>
          <w:rFonts w:ascii="Verdana" w:hAnsi="Verdana" w:cstheme="minorHAnsi"/>
          <w:b/>
          <w:sz w:val="20"/>
          <w:szCs w:val="20"/>
        </w:rPr>
        <w:t xml:space="preserve"> </w:t>
      </w:r>
      <w:r w:rsidRPr="006B672A">
        <w:rPr>
          <w:rFonts w:ascii="Verdana" w:hAnsi="Verdana" w:cstheme="minorHAnsi"/>
          <w:b/>
          <w:sz w:val="20"/>
          <w:szCs w:val="20"/>
        </w:rPr>
        <w:t>Różnica 5MWh, pomiędzy ilością podaną w umowie i w załączniku nr 1 do SWZ, wynika z tego, że ilość ta dotyczy przewidywanego zużycia energii na linii rezerwowej, która załącza się tylko, w przypadku awarii lub wyłączenia linii podstawowej.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6B672A">
        <w:rPr>
          <w:rFonts w:ascii="Verdana" w:hAnsi="Verdana" w:cstheme="minorHAnsi"/>
          <w:b/>
          <w:sz w:val="20"/>
          <w:szCs w:val="20"/>
        </w:rPr>
        <w:t xml:space="preserve">Prawo opcji zakładające zwiększenie ilości o 10% będzie uwzględniało wolumen 2694,76 </w:t>
      </w:r>
      <w:proofErr w:type="spellStart"/>
      <w:r w:rsidRPr="006B672A">
        <w:rPr>
          <w:rFonts w:ascii="Verdana" w:hAnsi="Verdana" w:cstheme="minorHAnsi"/>
          <w:b/>
          <w:sz w:val="20"/>
          <w:szCs w:val="20"/>
        </w:rPr>
        <w:t>MWh</w:t>
      </w:r>
      <w:proofErr w:type="spellEnd"/>
      <w:r w:rsidRPr="006B672A">
        <w:rPr>
          <w:rFonts w:ascii="Verdana" w:hAnsi="Verdana" w:cstheme="minorHAnsi"/>
          <w:b/>
          <w:sz w:val="20"/>
          <w:szCs w:val="20"/>
        </w:rPr>
        <w:t>.</w:t>
      </w:r>
    </w:p>
    <w:p w:rsidR="00D9004B" w:rsidRPr="006B672A" w:rsidRDefault="00D9004B" w:rsidP="006B672A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14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§7 ust. 1 i 4 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Informujemy, że zgodnie z art. 6b ust. 2 i 3 ustawy Prawo energetyczne obowiązek pisemnego powiadomienia odbiorcy o zamiarze wstrzymania dostaw oraz wyznaczenie dodatkowego 14-dniowego terminu na zapłatę należności dotyczy jedynie odbiorców w gospodarstwach domowych. Przepisy ustawy nie nakładają natomiast takiego obowiązku w przypadku pozostałej grupy odbiorców.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W związku z powyższym zwracamy się z prośbą o dostosowanie wskazanego zapisu do treści zgodnej z ustawą Prawo energetyczne, poprzez usunięcie z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§7 ust. 1 i 4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frazy: „(...) pomimo uprzedniego powiadomienia przez Sprzedawcę na piśmie o zamiarze wypowiedzenia Umowy i wyznaczenia dodatkowego, dwutygodniowego terminu zapłaty zaległych i bieżących należności – po jego bezskutecznym upływie". Bez zawnioskowanej zmiany zapis jawi się jako nieproporcjonalny w świetle zasad udzielania zamówień bowiem obejmuje ochroną zamawiającego nie będącego odbiorcą w gospodarstwie domowym, bez powodu, tak jak ochrona przewidywana prawem wyłącznie dla odbiorcy w takim gospodarstwie domowym".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15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§7 ust. 2 lit a)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Wykonawca zwraca się z prośbą o usunięcie przedmiotowych zapisów. Odstąpienie od umowy z przyczyn leżących po stronie Wykonawcy powinno dotyczyć sytuacji szczególnych i wyjątkowych wyszczególnionych w art. 456 Prawa zamówień publicznych, przekładających się na brak możliwości prawidłowej realizacji umowy przez Zamawiającego. W opinii Wykonawcy hipotetyczne uchybienia, wskazane w przedmiotowych zapisach, nie przekładają się na ewentualną szkodę Zamawiającego i w ten sposób godząc w zasadę proporcjonalności mająca zastosowanie w zamówieniach publicznych. Możliwość zerwania przez zamawiającego kontraktu z błahych powodów daje temu zamawiającemu nie proporcjonalne uprawnienie w świetle oczekiwanej trwałości umowy rozchwiewając równowagę stron i ekwiwalentność świadczeń.  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16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§7 ust. 5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Zamawiający określił, że przysługuje mu prawo wypowiedzenia umowy bez podania przyczyny. Oznacza to, że Zamawiający oczekuje możliwości wypowiedzenia umowy zasadniczo w każdym czasie. Umowy w zamówieniach publicznych zasadniczo zawiera się na czas oznaczony, należy więc stwierdzić, że umowy takie zostały przez ustawodawcę skonstruowane jako źródło zobowiązań o charakterze trwałym, które powinny istnieć aż do upływu terminu, na jaki zawarta została umowa, jeśli tylko przedmiot zamówienia będzie przez Wykonawcę wykonywany w sposób należy. Ponadto, racjonalna kalkulacja wartości zamówienia jest możliwa jedynie wówczas, gdy Wykonawca może przewidzieć, przez jaki okres strony umowy pozostaną nią związane. Zaproponowane w SWZ rozwiązanie jest niedopuszczalne w świetle istoty umowy sprzedaży (kompleksowej) zawieranej na czas oznaczony zarówno po myśli prawa cywilnego w zakresie zobowiązań jak i w świetle zasady udzielania zamówienia publicznego w sposób proporcjonalny.  Mianowicie każde przedwczesne rozwiązanie umowy bez powodu powoduje u wykonawcy szkodę. Wykonawca bowiem nabywa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lastRenderedPageBreak/>
        <w:t>wolumen energii hurtowo w celu odsprzedaży w całości na cały okres trwania umowy począwszy od jej zawarcia do zakończenia. Nie wykorzystany w opisanych realiach wolumen energii musi wykonawca, nieplanowo i ze stratą, odsprzedać na rynku hurtowym. Ponadto zgodnie z art. 433 pkt. 4 PZP wymagane jest określenie minimalnej wartości zamówienia.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17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§6 ust. 4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 1)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Wykonawca informuje, że ewentualną szkodę Zamawiającego stanowi różnica w cenie zakupu energii elektrycznej od sprzedawcy rezerwowego w stosunku do ceny energii elektrycznej z oferty wyłonionego w postępowaniu wykonawcy. W związku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br/>
        <w:t>z powyższym zwracamy się z prośbą o określenie, iż zwrot kosztów z tytułu zakupu energii elektrycznej od sprzedawcy rezerwowego będzie stanowił różnicę między kosztami energii zakupionej od sprzedawcy rezerwowego, a energii, która byłaby zakupiona na podstawie umowy sprzedaży zawartej z wybranym Wykonawcą. Poszkodowany nie może wzbogacać się wartością odszkodowań. Taki zapis jest sprzeczny z przepisami kodeksu cywilnego o naprawianiu szkody i rażąco nieproporcjonalny w świetle zasad udzielania zamówień publicznych.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18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§6 ust. 4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 1)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Zwracamy uwagę, że określona przez Zamawiającego wysokość kar umownych, w szczególności w odniesieniu do kary za zwłokę w skutecznym przeprowadzeniu procedury zmiany sprzedawcy, zdaniem Wykonawcy może zostać uznana jako kara rażąco wygórowana, co umożliwi jej podważenie na drodze sądowej, zgodnie z art. 484 §2 Kodeksu cywilnego. Możliwość podważania wysokości kary umownej nie tylko narazi strony umowy na koszty postępowania sądowego, ale wiąże się także z niepewnością co do praw i obowiązków stron. Jednocześnie tak wysoki poziom kary umownej za odstąpienie od umowy zmusi Wykonawców do uwzględnienia tego elementu ryzyka przy wycenie usług dla Zamawiającego, co znajdzie wyraz w podwyższeniu ceny ofertowej. Mając na względzie powyższe, zwracamy się z prośbą o usunięcie kwestionowanych zapisów.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19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§6 ust. 4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 2)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Informujemy, że zapisy dotyczące kar umownych są nieproporcjonalne, przez co naruszają zasadę równości stron w stosunku cywilnoprawnym oraz zasadę proporcjonalności przy udzielaniu zamówień publicznych. Wykonawca zwraca się z prośbą o wprowadzenie adekwatnych kar umownych lub o usunięcie wskazanych zapisów w całości. W przypadku wyrażenia zgody na rezygnację z kar umownych, zwracamy się z prośbą o modyfikację zapisów do treści: </w:t>
      </w:r>
      <w:r w:rsidRPr="006B672A">
        <w:rPr>
          <w:rFonts w:ascii="Verdana" w:eastAsia="Times New Roman" w:hAnsi="Verdana"/>
          <w:bCs/>
          <w:i/>
          <w:iCs/>
          <w:color w:val="000000"/>
          <w:sz w:val="20"/>
          <w:szCs w:val="20"/>
          <w:lang w:eastAsia="pl-PL"/>
        </w:rPr>
        <w:t>„Strony ponoszą wobec siebie odpowiedzialność odszkodowawczą na zasadach ogólnych do wysokości poniesionej szkody (straty)"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. Informujemy jednocześnie, że zapisy w obecnym kształcie wpływają na wzrost ryzyka </w:t>
      </w: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lastRenderedPageBreak/>
        <w:t>związanego z realizacją umowy po stronie Wykonawcy, co z kolei może negatywnie wpłynąć na kalkulację ceny ofertowej dla Zamawiającego.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20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§6 ust. 4-6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Zwracamy się z prośbą o określenie, iż w razie naliczenia kar umownych, Odbiorca każdorazowo wystawi Sprzedawcy notę obciążeniową. 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Informujemy, że kary umowne nie podlegają opodatkowaniu VAT, w związku z czym, dla potrzeb ich prawidłowego udokumentowania, nie wystawia się faktur VAT. Dla celów rachunkowych zarówno otrzymanie kary umownej, jak i jej zapłata kwalifikowane są do pozostałej działalności operacyjnej jednostki. Jak bowiem wynika z art. 3 ust. 1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>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32 lit. g) Ustawy o rachunkowości, przez pozostałe koszty i pozostałe przychody operacyjne rozumie się koszty i przychody związane m.in. z odszkodowaniami i karami. Kary te należy ująć w księgach rachunkowych, a odpowiednią formą ich udokumentowania jest nota obciążeniowa. Ponadto informujemy, że ze względu na sposób działania systemu bilingowego, Wykonawca nie ma możliwości rozliczenia naliczonej kary umownej po jej automatycznym potrąceniu.</w:t>
      </w:r>
    </w:p>
    <w:p w:rsid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21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§6 ust. 3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Wykonawca informuje, że zgodnie z § 44 Rozporządzenia Ministra Klimatu i Środowiska z dnia 29 listopada 2022 r. w sprawie sposobu kształtowania i kalkulacji taryf oraz sposobu rozliczeń w obrocie energią elektryczną bonifikaty udzielane są przez Sprzedawcę wskutek niedotrzymania przez Sprzedawcę standardów jakościowych obsługi odbiorców. Bonifikaty udzielane są w terminie 30 dni od dnia, w którym nastąpiło niedotrzymanie standardów jakościowych obsługi odbiorców. W związku z powyższym zwracamy się z prośba o zmodyfikowanie przedmiotowych zapisów do treści: </w:t>
      </w:r>
      <w:r w:rsidRPr="006B672A">
        <w:rPr>
          <w:rFonts w:ascii="Verdana" w:eastAsia="Times New Roman" w:hAnsi="Verdana"/>
          <w:bCs/>
          <w:i/>
          <w:iCs/>
          <w:sz w:val="20"/>
          <w:szCs w:val="20"/>
          <w:lang w:eastAsia="pl-PL"/>
        </w:rPr>
        <w:t>„Wykonawca zobowiązany jest do udzielania bonifikat za niedotrzymanie przez Sprzedawcę standardów jakościowych obsługi odbiorcy w terminie 30 dni od dnia, w którym nastąpiło niedotrzymanie standardów jakościowych obsługi odbiorców"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Pytanie 22 – 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Rozdział IV, </w:t>
      </w:r>
      <w:proofErr w:type="spellStart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pkt</w:t>
      </w:r>
      <w:proofErr w:type="spellEnd"/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 xml:space="preserve"> 1 SWZ ("Opis przedmiotu zamówienia"), §2 ust. 5-7 Załącznika nr 5 do SWZ ("UMOWA (WZÓR) NOWY"), Załącznik nr 2b do SWZ ("Formularz asortymentowo-cenowy") – Załącznik nr 1 do umowy („formularz cenowy")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Informujemy, iż zgodnie z obowiązującymi przepisami prawa oraz poglądami doktryny, instytucja prawa opcji sprowadza się do założenia (odmiennie niż zostało to określone w zapisie kwestionowanym), iż zamawiający każdorazowo określa minimalny poziom zamówienia, który zostanie na pewno zrealizowany, wskazując jednocześnie dodatkowy zakres, którego realizacja jest uzależniona od wskazanych w kontrakcie okoliczności, stanowiąc uprawnienie zamawiającego, z którego może, ale nie musi skorzystać. </w:t>
      </w:r>
      <w:r w:rsidRPr="006B672A">
        <w:rPr>
          <w:rFonts w:ascii="Verdana" w:eastAsia="Times New Roman" w:hAnsi="Verdana"/>
          <w:sz w:val="20"/>
          <w:szCs w:val="20"/>
          <w:u w:val="single"/>
          <w:lang w:eastAsia="pl-PL"/>
        </w:rPr>
        <w:t>Co więcej, art. 31 ust. 2  ustawy PZP stanowi, iż „Przy ustaleniu wartości zamówienia uwzględnia się największy możliwy zakres tego zamówienia z uwzględnieniem opcji oraz wznowień."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t xml:space="preserve">. Z uwagi na powyższe istotne jest unormowanie </w:t>
      </w:r>
      <w:r w:rsidRPr="006B672A">
        <w:rPr>
          <w:rFonts w:ascii="Verdana" w:eastAsia="Times New Roman" w:hAnsi="Verdana"/>
          <w:sz w:val="20"/>
          <w:szCs w:val="20"/>
          <w:lang w:eastAsia="pl-PL"/>
        </w:rPr>
        <w:lastRenderedPageBreak/>
        <w:t>zawarte w art. 99 ust. 1 ustawy PZP, zgodnie z którym „przedmiot zamówienia opisuje się w sposób jednoznaczny i wyczerpujący, za pomocą dostatecznie dokładnych i zrozumiałych określeń, uwzględniając wymagania i okoliczności mogące mieć wpływ na sporządzenie oferty.". Mając na względzie powyższe, proszę o uwzględnienie w formularzu cenowym największego możliwego zakresu tego zamówienia z uwzględnieniem opcji.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pStyle w:val="Nagwek1"/>
        <w:spacing w:before="0" w:after="0" w:line="240" w:lineRule="auto"/>
        <w:jc w:val="both"/>
        <w:rPr>
          <w:rFonts w:ascii="Verdana" w:hAnsi="Verdana" w:cs="Tahoma"/>
          <w:bCs w:val="0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Pytanie 23 –</w:t>
      </w:r>
      <w:r w:rsidRPr="006B672A">
        <w:rPr>
          <w:rFonts w:ascii="Verdana" w:eastAsia="Times New Roman" w:hAnsi="Verdana"/>
          <w:color w:val="000000"/>
          <w:sz w:val="20"/>
          <w:szCs w:val="20"/>
          <w:u w:val="single"/>
          <w:lang w:eastAsia="pl-PL"/>
        </w:rPr>
        <w:t>§5 ust. 7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sz w:val="20"/>
          <w:szCs w:val="20"/>
          <w:lang w:eastAsia="pl-PL"/>
        </w:rPr>
        <w:t>Wykonawca informuje, iż może nie być w posiadaniu rzeczywistych danych pomiarowo-rozliczeniowych na dzień ewentualnej zmiany cen energii elektrycznej. Mając powyższe na uwadze zwraca się z prośbą o modyfikację przedmiotowego zapisu do treści: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672A">
        <w:rPr>
          <w:rFonts w:ascii="Verdana" w:eastAsia="Times New Roman" w:hAnsi="Verdana"/>
          <w:i/>
          <w:iCs/>
          <w:sz w:val="20"/>
          <w:szCs w:val="20"/>
          <w:lang w:eastAsia="pl-PL"/>
        </w:rPr>
        <w:t>„W przypadku zmiany cen Sprzedawca przyjmie jako podstawę do rozliczenia rzeczywiste dane pomiarowo-rozliczeniowe bądź w przypadku braku ich posiadania szacowane ilości energii elektrycznej z uwzględnieniem cen obowiązujących</w:t>
      </w:r>
      <w:r w:rsidRPr="006B672A">
        <w:rPr>
          <w:rFonts w:ascii="Verdana" w:eastAsia="Times New Roman" w:hAnsi="Verdana"/>
          <w:i/>
          <w:iCs/>
          <w:sz w:val="20"/>
          <w:szCs w:val="20"/>
          <w:lang w:eastAsia="pl-PL"/>
        </w:rPr>
        <w:br/>
        <w:t>w poszczególnych dniach okresu rozliczeniowego."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bCs/>
          <w:color w:val="000000"/>
          <w:sz w:val="20"/>
          <w:szCs w:val="20"/>
        </w:rPr>
        <w:t>Pytanie 24 –</w:t>
      </w:r>
      <w:r w:rsidRPr="006B672A">
        <w:rPr>
          <w:rFonts w:ascii="Verdana" w:hAnsi="Verdana"/>
          <w:color w:val="000000"/>
          <w:sz w:val="20"/>
          <w:szCs w:val="20"/>
          <w:u w:val="single"/>
        </w:rPr>
        <w:t>Rozdział IV SWZ ("Opis przedmiotu zamówienia"), Załącznik nr 1 do SWZ ("OPIS PRZEDMIOTU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t>Wykonawca zwraca się z prośbą o udzielenie informacji, czy Zamawiający posiada status wytwórcy, o którym mowa w art. 2 ust. 39 ustawy z dnia 20 lutego 2015 r. o odnawialnych źródłach energii (Dz. U. 2022 r. poz. 1378 ze zm.), co oznacza, że jest podmiotem wytwarzającym energię elektryczną lub ciepło z  odnawialnych źródeł energii lub wytwarza biogaz rolniczy w instalacjach odnawialnego źródła energii, w stosunku do punktów poboru energii wymienionych przez Zamawiającego w dokumentacji przetargowej?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t xml:space="preserve">W przypadku posiadania przez Zamawiającego statusu wytwórcy, o którym mowa w art. 2 ust. 39 ustawy z dnia 20 lutego 2015 r. o odnawialnych źródłach energii (Dz. U. z 2022 r. poz. 1387 z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późn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>. zm.) w stosunku do punktów poboru energii wymienionych przez Zamawiającego w dokumentacji przetargowej, Wykonawca informuje, że objęcie przedmiotem zamówienia na dostawę energii elektrycznej/dostawę energii elektrycznej oraz zapewnienie świadczenia usługi jej dystrybucji punktów poboru energii, w których wytwarzana jest energia elektryczna, może stanowić naruszenie dyspozycji art. 99 ust. 1 ustawy z dnia 11 września 2019 r. Prawo zamówień publicznych (Dz. U. 2022 poz. 1710 ze zm.). W konsekwencji ww. przepisu, dokumentacja przetargowa powinna zawierać wyraźne i precyzyjne uregulowania wskazujące na przedmiot zamówienia, z uwzględnieniem wszystkich zobowiązań Wykonawcy związanych z posiadaną przez Zamawiającego instalacją odnawialnego źródła energii (dalej: Instalacja OZE).</w:t>
      </w:r>
      <w:r w:rsidRPr="006B672A">
        <w:rPr>
          <w:rFonts w:ascii="Verdana" w:hAnsi="Verdana"/>
          <w:color w:val="000000"/>
          <w:sz w:val="20"/>
          <w:szCs w:val="20"/>
        </w:rPr>
        <w:br/>
        <w:t xml:space="preserve">W dokumentacji przetargowej brak jest postanowień dotyczących wskazania strony kupującej energię wytworzoną w Instalacji OZE oraz regulacji dotyczących zmiany podmiotu odpowiedzialnego za  bilansowanie handlowe zarówno na kierunku dostarczania energii elektrycznej jak i na kierunku jej poboru z Instalacji OZE. W powyższym zakresie wskazuje się, iż zgodnie z art. 9g ust. 6b ustawy Prawo energetyczne (Dz. U. 2022 r., poz. 1385 ze zm.) rozliczenia wynikające z  niezbilansowania energii elektrycznej </w:t>
      </w:r>
      <w:r w:rsidRPr="006B672A">
        <w:rPr>
          <w:rFonts w:ascii="Verdana" w:hAnsi="Verdana"/>
          <w:color w:val="000000"/>
          <w:sz w:val="20"/>
          <w:szCs w:val="20"/>
        </w:rPr>
        <w:lastRenderedPageBreak/>
        <w:t>pobranej, wprowadzonej lub pobranej i wprowadzonej dokonuje jeden podmiot odpowiedzialny za bilansowanie handlowe, co ma istotne znacznie w celu umożliwienia wykonania przedmiotu zamówienia przez Wykonawcę. Informujemy, iż pozostawienie zapisów dokumentacji zamówienia w obecnym brzmieniu uniemożliwia złożenie przez Wykonawcę Oferty w zakresie dotyczącym ww. kategorii punktów poboru energii. W związku z powyższym, w celu umożliwienia złożenia Oferty, Wykonawca zwraca się z prośbą o wyłączenie z przedmiotowego postępowania o  udzielenie zamówienia publicznego punktów poboru energii, w stosunku do których Zamawiający posiada status wytwórcy.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</w:p>
    <w:p w:rsidR="00D9004B" w:rsidRPr="006B672A" w:rsidRDefault="006B672A" w:rsidP="006B672A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="00D9004B" w:rsidRPr="006B672A">
        <w:rPr>
          <w:rFonts w:ascii="Verdana" w:hAnsi="Verdana" w:cs="Calibri"/>
          <w:b/>
          <w:bCs/>
          <w:color w:val="333333"/>
          <w:sz w:val="20"/>
          <w:szCs w:val="20"/>
          <w:shd w:val="clear" w:color="auto" w:fill="FFFFFF"/>
        </w:rPr>
        <w:t>Zamawiający informuje, że na dzień dzisiejszy nie posiada instalacji OZE oraz statusu wytwórcy o którym mowa w art.2 ust.39 ustawy z dnia 20 lutego 2015. o odnawialnych źródłach energii.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sz w:val="20"/>
          <w:szCs w:val="20"/>
        </w:rPr>
        <w:t> 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bCs/>
          <w:color w:val="000000"/>
          <w:sz w:val="20"/>
          <w:szCs w:val="20"/>
        </w:rPr>
        <w:t>Pytanie 25 –</w:t>
      </w:r>
      <w:r w:rsidRPr="006B672A">
        <w:rPr>
          <w:rFonts w:ascii="Verdana" w:hAnsi="Verdana"/>
          <w:color w:val="000000"/>
          <w:sz w:val="20"/>
          <w:szCs w:val="20"/>
          <w:u w:val="single"/>
        </w:rPr>
        <w:t>Rozdział IV SWZ ("Opis przedmiotu zamówienia"), Załącznik nr 1 do SWZ ("OPIS PRZEDMIOTU ZAMÓWIENIA")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t xml:space="preserve">Wykonawca zwraca się z prośbą o udzielenie informacji, czy Zamawiający posiada status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prosumenta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energii odnawialnej, o którym mowa w art. 2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pkt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27a ustawy z dnia 20 lutego 2015 r. o odnawialnych źródłach energii (Dz. U. 2022 r. poz. 1387 ze zm.), co oznacza, że jest odbiorcą  końcowym wytwarzającym energię elektryczną wyłącznie z odnawialnych źródeł energii na własne potrzeby w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mikroinstalacji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>, pod warunkiem, że wytwarzanie o którym mowa powyżej, nie stanowi przedmiotu przeważającej działalności gospodarczej określonej zgodnie z przepisami wydanymi na podstawie art. 40 ust. 2 ustawy z dnia 29 czerwca 1995 r. o statystyce publicznej (Dz.  U. 2022 r. poz. 459 ze zm.) w stosunku do punktów poboru energii wymienionych przez Zamawiającego w dokumentacji przetargowej?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t xml:space="preserve">W przypadku posiadania statusu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prosumenta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, Wykonawca zwraca się z prośbą o wyłączenie z postępowania o  udzielenie zamówienia publicznego, bądź wydzielenie do odrębnej części zamówienia, punktów poboru energii, w stosunku do których Zamawiający posiada status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prosumenta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energii odnawialnej, o którym mowa w art. 2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pkt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27a ustawy z dnia 20 lutego 2015 r. o odnawialnych źródłach energii (Dz. U. z 2022 r. poz. 1378 z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późn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. zm.) – dalej OZE. 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hAnsi="Verdana"/>
          <w:color w:val="000000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t xml:space="preserve">Objęcie przedmiotem zamówienia na sprzedaż energii elektrycznej, punktów poboru energii z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mikroinstalacją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>, powoduje konieczność świadczenia przez Wykonawcę dodatkowej usługi, w stosunku do ww. rodzaju punktów poboru energii, polegającej na rozliczaniu energii elektrycznej wprowadzonej przez Zamawiającego (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prosumenta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energii odnawialnej) do sieci OSD, wytworzonej w 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mikroinstalacji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wraz z zapewnieniem usługi odbioru na  warunkach wskazanych w ustawie OZE. W związku z powyższym, niemożliwe jest dokonanie przez Wykonawcę prawidłowej kalkulacji ceny w Ofercie, która uwzględni zarówno wynagrodzenie Wykonawcy za sprzedaż energii do punktów poboru energii Zamawiającego, jak i odkup od Zamawiającego energii wytworzonej w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mikroinstalacji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>, co uniemożliwia złożenie przez Wykonawcę Oferty na warunkach wskazanych w treści SWZ.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hAnsi="Verdana"/>
          <w:color w:val="000000"/>
          <w:sz w:val="20"/>
          <w:szCs w:val="20"/>
        </w:rPr>
      </w:pPr>
    </w:p>
    <w:p w:rsidR="00D9004B" w:rsidRPr="006B672A" w:rsidRDefault="006B672A" w:rsidP="006B672A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="00D9004B" w:rsidRPr="006B672A">
        <w:rPr>
          <w:rFonts w:ascii="Verdana" w:hAnsi="Verdana" w:cs="Calibri"/>
          <w:b/>
          <w:bCs/>
          <w:color w:val="333333"/>
          <w:sz w:val="20"/>
          <w:szCs w:val="20"/>
          <w:shd w:val="clear" w:color="auto" w:fill="FFFFFF"/>
        </w:rPr>
        <w:t xml:space="preserve">Zamawiający informuje, że na dzień dzisiejszy nie posiada instalacji OZE oraz statusu </w:t>
      </w:r>
      <w:proofErr w:type="spellStart"/>
      <w:r w:rsidR="00D9004B" w:rsidRPr="006B672A">
        <w:rPr>
          <w:rFonts w:ascii="Verdana" w:hAnsi="Verdana" w:cs="Calibri"/>
          <w:b/>
          <w:bCs/>
          <w:color w:val="333333"/>
          <w:sz w:val="20"/>
          <w:szCs w:val="20"/>
          <w:shd w:val="clear" w:color="auto" w:fill="FFFFFF"/>
        </w:rPr>
        <w:t>prosumenta</w:t>
      </w:r>
      <w:proofErr w:type="spellEnd"/>
      <w:r w:rsidR="00D9004B" w:rsidRPr="006B672A">
        <w:rPr>
          <w:rFonts w:ascii="Verdana" w:hAnsi="Verdana" w:cs="Calibri"/>
          <w:b/>
          <w:bCs/>
          <w:color w:val="333333"/>
          <w:sz w:val="20"/>
          <w:szCs w:val="20"/>
          <w:shd w:val="clear" w:color="auto" w:fill="FFFFFF"/>
        </w:rPr>
        <w:t xml:space="preserve"> energii odnawialnej, o którym mowa w art.2 ust.27austawy z dnia 20 lutego 20115. o odnawialnych źródłach energii.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hAnsi="Verdana"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bCs/>
          <w:color w:val="000000"/>
          <w:sz w:val="20"/>
          <w:szCs w:val="20"/>
        </w:rPr>
        <w:t xml:space="preserve">Pytanie 26 – </w:t>
      </w:r>
      <w:r w:rsidRPr="006B672A">
        <w:rPr>
          <w:rFonts w:ascii="Verdana" w:hAnsi="Verdana"/>
          <w:color w:val="000000"/>
          <w:sz w:val="20"/>
          <w:szCs w:val="20"/>
          <w:u w:val="single"/>
        </w:rPr>
        <w:t>Rozdział IV SWZ ("Opis przedmiotu zamówienia"), Załącznik nr 1 do SWZ ("OPIS PRZEDMIOTU ZAMÓWIENIA")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lastRenderedPageBreak/>
        <w:t>Proszę o podanie informacji, czy wedle ustawy z dnia z dnia 27 października 2022 r. o środkach nadzwyczajnych mających na celu ograniczenie wysokości cen energii elektrycznej oraz wsparciu niektórych odbiorców w 2023 roku (</w:t>
      </w:r>
      <w:hyperlink r:id="rId8" w:tgtFrame="_blank" w:history="1">
        <w:r w:rsidRPr="006B672A">
          <w:rPr>
            <w:rStyle w:val="Hipercze"/>
            <w:rFonts w:ascii="Verdana" w:hAnsi="Verdana"/>
            <w:color w:val="000000"/>
            <w:sz w:val="20"/>
            <w:szCs w:val="20"/>
          </w:rPr>
          <w:t>https://orka.sejm.gov.pl/opinie9.nsf/nazwa/2697_u/$file/2697_u.pdf</w:t>
        </w:r>
      </w:hyperlink>
      <w:r w:rsidRPr="006B672A">
        <w:rPr>
          <w:rFonts w:ascii="Verdana" w:hAnsi="Verdana"/>
          <w:color w:val="000000"/>
          <w:sz w:val="20"/>
          <w:szCs w:val="20"/>
        </w:rPr>
        <w:t>) są Państwo odbiorcą uprawnionym.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6B672A">
        <w:rPr>
          <w:rFonts w:ascii="Verdana" w:hAnsi="Verdana"/>
          <w:color w:val="000000"/>
          <w:sz w:val="20"/>
          <w:szCs w:val="20"/>
        </w:rPr>
        <w:t xml:space="preserve">Czy dla każdego wymienionego PPE objętego przedmiotem zamówienia zostanie złożone Oświadczenie składane przez odbiorców uprawnionych, o których mowa w art. 2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pkt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2 lit. </w:t>
      </w:r>
      <w:proofErr w:type="spellStart"/>
      <w:r w:rsidRPr="006B672A">
        <w:rPr>
          <w:rFonts w:ascii="Verdana" w:hAnsi="Verdana"/>
          <w:color w:val="000000"/>
          <w:sz w:val="20"/>
          <w:szCs w:val="20"/>
        </w:rPr>
        <w:t>b–e</w:t>
      </w:r>
      <w:proofErr w:type="spellEnd"/>
      <w:r w:rsidRPr="006B672A">
        <w:rPr>
          <w:rFonts w:ascii="Verdana" w:hAnsi="Verdana"/>
          <w:color w:val="000000"/>
          <w:sz w:val="20"/>
          <w:szCs w:val="20"/>
        </w:rPr>
        <w:t xml:space="preserve"> ustawy z dnia 27 października 2022 r. o środkach nadzwyczajnych mających na celu ograniczenie wysokości cen energii elektrycznej oraz wsparciu niektórych odbiorców w 2023 roku, z którego wynikać będzie konieczność zastosowania ceny maksymalnej w stosunku do całości ilości energii sprzedanej do Zamawiającego?</w:t>
      </w:r>
    </w:p>
    <w:p w:rsidR="00D9004B" w:rsidRPr="006B672A" w:rsidRDefault="00D9004B" w:rsidP="006B672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9004B" w:rsidRPr="006B672A" w:rsidRDefault="006B672A" w:rsidP="006B672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>Odpowiedź:</w:t>
      </w:r>
      <w:r w:rsidR="00D9004B" w:rsidRPr="006B672A">
        <w:rPr>
          <w:rFonts w:ascii="Verdana" w:hAnsi="Verdana"/>
          <w:b/>
          <w:sz w:val="20"/>
          <w:szCs w:val="20"/>
        </w:rPr>
        <w:t xml:space="preserve"> Tak, Zamawiający </w:t>
      </w:r>
      <w:bookmarkStart w:id="0" w:name="_GoBack"/>
      <w:bookmarkEnd w:id="0"/>
      <w:r w:rsidR="00D9004B" w:rsidRPr="006B672A">
        <w:rPr>
          <w:rFonts w:ascii="Verdana" w:hAnsi="Verdana"/>
          <w:b/>
          <w:sz w:val="20"/>
          <w:szCs w:val="20"/>
        </w:rPr>
        <w:t>jest odbiorcą uprawnionym. Stosowne oświadczenia zostaną  złożone.</w:t>
      </w: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9004B" w:rsidRPr="006B672A" w:rsidRDefault="00D9004B" w:rsidP="006B67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b/>
          <w:bCs/>
          <w:color w:val="000000"/>
          <w:sz w:val="20"/>
          <w:szCs w:val="20"/>
        </w:rPr>
        <w:t>Pytanie 27 –</w:t>
      </w:r>
      <w:r w:rsidRPr="006B672A">
        <w:rPr>
          <w:rFonts w:ascii="Verdana" w:hAnsi="Verdana"/>
          <w:color w:val="000000"/>
          <w:sz w:val="20"/>
          <w:szCs w:val="20"/>
          <w:u w:val="single"/>
        </w:rPr>
        <w:t>§5 ust. 16 Załącznika nr 5 do SWZ ("UMOWA (WZÓR) NOWY")</w:t>
      </w:r>
    </w:p>
    <w:p w:rsidR="00D9004B" w:rsidRPr="006B672A" w:rsidRDefault="00D9004B" w:rsidP="006B672A">
      <w:pPr>
        <w:spacing w:after="0" w:line="240" w:lineRule="auto"/>
        <w:ind w:firstLine="680"/>
        <w:jc w:val="both"/>
        <w:rPr>
          <w:rFonts w:ascii="Verdana" w:hAnsi="Verdana"/>
          <w:sz w:val="20"/>
          <w:szCs w:val="20"/>
        </w:rPr>
      </w:pPr>
      <w:r w:rsidRPr="006B672A">
        <w:rPr>
          <w:rFonts w:ascii="Verdana" w:hAnsi="Verdana"/>
          <w:sz w:val="20"/>
          <w:szCs w:val="20"/>
        </w:rPr>
        <w:t>Informujemy, że klauzula waloryzacyjna o której mowa w art. 439 ustawy z dnia 11 września 2019 r. Prawo zamówień publicznych (Dz. U 2022 poz. 1710 ze zm.) nie będzie miała zastosowania do przedmiotu niniejszego zamówienia. Ceny energii elektrycznej, zakupionej na Towarowej Giełdzie Energii, zaproponowane w złożonej ofercie, pozostają niezmienne w okresie obowiązywania umowy, za wyjątkiem nowelizacji przepisów skutkujących zmianą kwoty podatku VAT lub podatku akcyzowego. Dlatego też, wszelkie późniejsze zmiany cen energii elektrycznej będącej przedmiotem umowy pozostawałyby bez związku z wynagrodzeniem Wykonawcy i w ten sposób nie zachodzi ustawowa przesłanka do zawarcia w umowie postanowień dotyczących zmian wysokości wynagrodzenia należnego wykonawcy bowiem zmiana cen materiałów lub kosztów nie jest związana z realizacją zamówienia i nie powoduje zmiany wysokości wynagrodzenia wykonawcy. Mając na uwadze powyższe, Wykonawca wnosi o usunięcie wskazanych zapisów. </w:t>
      </w:r>
    </w:p>
    <w:p w:rsidR="006B672A" w:rsidRPr="006B672A" w:rsidRDefault="006B672A" w:rsidP="006B672A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6B672A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6B672A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6B672A" w:rsidRPr="006B672A" w:rsidRDefault="00BE7DB0" w:rsidP="00BE7DB0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----------------------------------------------------------------------------------------------</w:t>
      </w:r>
    </w:p>
    <w:p w:rsidR="006B672A" w:rsidRPr="006B672A" w:rsidRDefault="006B672A" w:rsidP="006B672A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D9004B" w:rsidRPr="00BE7DB0" w:rsidRDefault="00D9004B" w:rsidP="00BE7DB0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BE7DB0">
        <w:rPr>
          <w:rFonts w:ascii="Verdana" w:hAnsi="Verdana" w:cs="Arial"/>
          <w:sz w:val="20"/>
          <w:szCs w:val="20"/>
        </w:rPr>
        <w:t>Zamawiający zmienia zapisy SWZ w zakresie formularza asortymentowo-cenowego oraz</w:t>
      </w:r>
      <w:r w:rsidR="006B672A" w:rsidRPr="00BE7DB0">
        <w:rPr>
          <w:rFonts w:ascii="Verdana" w:hAnsi="Verdana" w:cs="Arial"/>
          <w:sz w:val="20"/>
          <w:szCs w:val="20"/>
        </w:rPr>
        <w:t xml:space="preserve"> </w:t>
      </w:r>
      <w:r w:rsidRPr="00BE7DB0">
        <w:rPr>
          <w:rFonts w:ascii="Verdana" w:hAnsi="Verdana" w:cs="Arial"/>
          <w:sz w:val="20"/>
          <w:szCs w:val="20"/>
        </w:rPr>
        <w:t>publikuje zmodyfikowane załączniki pod nazwą,</w:t>
      </w:r>
      <w:r w:rsidRPr="00BE7DB0">
        <w:rPr>
          <w:rFonts w:ascii="Verdana" w:hAnsi="Verdana"/>
          <w:iCs/>
          <w:sz w:val="20"/>
          <w:szCs w:val="20"/>
        </w:rPr>
        <w:t xml:space="preserve"> </w:t>
      </w:r>
      <w:r w:rsidRPr="00BE7DB0">
        <w:rPr>
          <w:rFonts w:ascii="Verdana" w:hAnsi="Verdana"/>
          <w:b/>
          <w:iCs/>
          <w:sz w:val="20"/>
          <w:szCs w:val="20"/>
        </w:rPr>
        <w:t>„30.05.2023 załącznik nr 2b formularz asortymentowo-cenowy”</w:t>
      </w:r>
      <w:r w:rsidRPr="00BE7DB0">
        <w:rPr>
          <w:rFonts w:ascii="Verdana" w:hAnsi="Verdana" w:cs="Arial"/>
          <w:b/>
          <w:sz w:val="20"/>
          <w:szCs w:val="20"/>
        </w:rPr>
        <w:t xml:space="preserve">. </w:t>
      </w:r>
    </w:p>
    <w:p w:rsidR="00D9004B" w:rsidRPr="00BE7DB0" w:rsidRDefault="00D9004B" w:rsidP="00BE7DB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9004B" w:rsidRPr="006B672A" w:rsidRDefault="00D9004B" w:rsidP="00BE7DB0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6B672A">
        <w:rPr>
          <w:rFonts w:ascii="Verdana" w:hAnsi="Verdana"/>
          <w:sz w:val="20"/>
          <w:szCs w:val="20"/>
        </w:rPr>
        <w:t xml:space="preserve">Zgodnie z art. 137 ust. 5 ustawy Prawo Zamówień Publicznych z dnia 11 września 2019r., Wielkopolskie Centrum Pulmonologii i Torakochirurgii SP ZOZ </w:t>
      </w:r>
      <w:r w:rsidRPr="006B672A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Pr="006B672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14.06.2023 roku. </w:t>
      </w:r>
      <w:r w:rsidRPr="006B672A">
        <w:rPr>
          <w:rFonts w:ascii="Verdana" w:eastAsia="Times New Roman" w:hAnsi="Verdana" w:cs="Arial"/>
          <w:sz w:val="20"/>
          <w:szCs w:val="20"/>
          <w:lang w:eastAsia="pl-PL"/>
        </w:rPr>
        <w:t>Godziny składania i otwarcia ofert pozostają bez zmian.</w:t>
      </w:r>
      <w:r w:rsidR="006B672A" w:rsidRPr="006B672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6B672A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Pr="006B672A">
        <w:rPr>
          <w:rFonts w:ascii="Verdana" w:eastAsia="Times New Roman" w:hAnsi="Verdana" w:cs="Arial"/>
          <w:b/>
          <w:sz w:val="20"/>
          <w:szCs w:val="20"/>
          <w:lang w:eastAsia="pl-PL"/>
        </w:rPr>
        <w:t>11.09.2023 roku.</w:t>
      </w:r>
    </w:p>
    <w:p w:rsidR="00D9004B" w:rsidRPr="006B672A" w:rsidRDefault="00D9004B" w:rsidP="00BE7DB0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A3861" w:rsidRPr="006B672A" w:rsidRDefault="009A3861" w:rsidP="006B672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sectPr w:rsidR="009A3861" w:rsidRPr="006B672A" w:rsidSect="006B672A">
      <w:headerReference w:type="default" r:id="rId9"/>
      <w:footerReference w:type="default" r:id="rId10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2A" w:rsidRDefault="006B672A" w:rsidP="00F92ECB">
      <w:pPr>
        <w:spacing w:after="0" w:line="240" w:lineRule="auto"/>
      </w:pPr>
      <w:r>
        <w:separator/>
      </w:r>
    </w:p>
  </w:endnote>
  <w:endnote w:type="continuationSeparator" w:id="0">
    <w:p w:rsidR="006B672A" w:rsidRDefault="006B67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2A" w:rsidRDefault="006B67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2A" w:rsidRDefault="006B672A" w:rsidP="00F92ECB">
      <w:pPr>
        <w:spacing w:after="0" w:line="240" w:lineRule="auto"/>
      </w:pPr>
      <w:r>
        <w:separator/>
      </w:r>
    </w:p>
  </w:footnote>
  <w:footnote w:type="continuationSeparator" w:id="0">
    <w:p w:rsidR="006B672A" w:rsidRDefault="006B67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2A" w:rsidRDefault="006B67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50698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A4CCD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8592A"/>
    <w:rsid w:val="0069085B"/>
    <w:rsid w:val="00694B8B"/>
    <w:rsid w:val="00695C45"/>
    <w:rsid w:val="006962E2"/>
    <w:rsid w:val="006A14CE"/>
    <w:rsid w:val="006A4933"/>
    <w:rsid w:val="006B61BB"/>
    <w:rsid w:val="006B672A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3F1F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0CBA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4F7D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B0855"/>
    <w:rsid w:val="009B1128"/>
    <w:rsid w:val="009B6BEE"/>
    <w:rsid w:val="009B7379"/>
    <w:rsid w:val="009C5857"/>
    <w:rsid w:val="009C6FEA"/>
    <w:rsid w:val="009E11E9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E39"/>
    <w:rsid w:val="00B25F28"/>
    <w:rsid w:val="00B32ACC"/>
    <w:rsid w:val="00B37AD4"/>
    <w:rsid w:val="00B4410C"/>
    <w:rsid w:val="00B44D85"/>
    <w:rsid w:val="00B46722"/>
    <w:rsid w:val="00B5586D"/>
    <w:rsid w:val="00B57B0B"/>
    <w:rsid w:val="00B60E10"/>
    <w:rsid w:val="00B6413E"/>
    <w:rsid w:val="00B64936"/>
    <w:rsid w:val="00B663E1"/>
    <w:rsid w:val="00B72036"/>
    <w:rsid w:val="00B8696B"/>
    <w:rsid w:val="00B87274"/>
    <w:rsid w:val="00B90B6F"/>
    <w:rsid w:val="00B95745"/>
    <w:rsid w:val="00B95A45"/>
    <w:rsid w:val="00BA1623"/>
    <w:rsid w:val="00BA4CE0"/>
    <w:rsid w:val="00BB11BD"/>
    <w:rsid w:val="00BB1E83"/>
    <w:rsid w:val="00BB6692"/>
    <w:rsid w:val="00BB78BA"/>
    <w:rsid w:val="00BB7B44"/>
    <w:rsid w:val="00BC1A2A"/>
    <w:rsid w:val="00BC6AE0"/>
    <w:rsid w:val="00BE316B"/>
    <w:rsid w:val="00BE3CE2"/>
    <w:rsid w:val="00BE7DB0"/>
    <w:rsid w:val="00BF054D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C5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67EC1"/>
    <w:rsid w:val="00D74775"/>
    <w:rsid w:val="00D808F6"/>
    <w:rsid w:val="00D86100"/>
    <w:rsid w:val="00D9004B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54777"/>
    <w:rsid w:val="00E55A6C"/>
    <w:rsid w:val="00E72573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EF3436"/>
    <w:rsid w:val="00F024D0"/>
    <w:rsid w:val="00F04251"/>
    <w:rsid w:val="00F0480E"/>
    <w:rsid w:val="00F05C46"/>
    <w:rsid w:val="00F060D8"/>
    <w:rsid w:val="00F20B37"/>
    <w:rsid w:val="00F21C78"/>
    <w:rsid w:val="00F2328B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pgetekstglowny">
    <w:name w:val="pgetekstglowny"/>
    <w:basedOn w:val="Normalny"/>
    <w:rsid w:val="003A4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F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ka.sejm.gov.pl/opinie9.nsf/nazwa/2697_u/$file/2697_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DAA4-E79B-48EA-8527-8A26A17C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1672</TotalTime>
  <Pages>13</Pages>
  <Words>5568</Words>
  <Characters>33411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571</cp:revision>
  <cp:lastPrinted>2021-05-20T08:22:00Z</cp:lastPrinted>
  <dcterms:created xsi:type="dcterms:W3CDTF">2019-10-22T07:07:00Z</dcterms:created>
  <dcterms:modified xsi:type="dcterms:W3CDTF">2023-06-01T06:49:00Z</dcterms:modified>
</cp:coreProperties>
</file>