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 leków ogólnych, albumin, immunoglobulin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bezpośredniozwiązanezpostępowaniemo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68149D" w:rsidRPr="0041761E" w:rsidRDefault="0068149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Skrócony termin składania ofert zgodnie z art. 138 ust.2 </w:t>
      </w:r>
      <w:proofErr w:type="spellStart"/>
      <w:r w:rsidRPr="0041761E">
        <w:rPr>
          <w:rFonts w:ascii="Verdana" w:hAnsi="Verdana"/>
          <w:b/>
          <w:sz w:val="20"/>
          <w:szCs w:val="20"/>
        </w:rPr>
        <w:t>pkt</w:t>
      </w:r>
      <w:proofErr w:type="spellEnd"/>
      <w:r w:rsidRPr="0041761E">
        <w:rPr>
          <w:rFonts w:ascii="Verdana" w:hAnsi="Verdana"/>
          <w:b/>
          <w:sz w:val="20"/>
          <w:szCs w:val="20"/>
        </w:rPr>
        <w:t xml:space="preserve"> 2 ustawy z dnia 11 września 2019r. -  Prawo Zamówień Publicznych.</w:t>
      </w:r>
    </w:p>
    <w:p w:rsidR="0068149D" w:rsidRPr="0041761E" w:rsidRDefault="0068149D" w:rsidP="0041761E">
      <w:pPr>
        <w:tabs>
          <w:tab w:val="left" w:pos="0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      Procedura przyśpieszona – uzasadnienie: </w:t>
      </w:r>
    </w:p>
    <w:p w:rsidR="00EB74DE" w:rsidRPr="0041761E" w:rsidRDefault="00EB74DE" w:rsidP="0041761E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związku z unieważnieniem poprzedniego postępowania na zakup leków, zaistniała konieczność pilnego przeprowadzenia postępowania, w celu zapewnienia pacjentom </w:t>
      </w:r>
      <w:r w:rsidR="00561E2A" w:rsidRPr="0041761E">
        <w:rPr>
          <w:rFonts w:ascii="Verdana" w:hAnsi="Verdana"/>
          <w:b/>
          <w:color w:val="auto"/>
          <w:sz w:val="20"/>
          <w:szCs w:val="20"/>
        </w:rPr>
        <w:t xml:space="preserve">Zamawiającego kontynuacji udzielania świadczeń zdrowotnych.  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 leków ogólnych, albumin, immunoglobulin.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68149D" w:rsidRPr="0041761E">
        <w:rPr>
          <w:rFonts w:ascii="Verdana" w:hAnsi="Verdana"/>
          <w:b/>
          <w:iCs/>
          <w:color w:val="auto"/>
          <w:sz w:val="20"/>
          <w:szCs w:val="20"/>
        </w:rPr>
        <w:t>4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68149D" w:rsidRPr="0041761E">
        <w:rPr>
          <w:rFonts w:ascii="Verdana" w:hAnsi="Verdana"/>
          <w:b/>
          <w:iCs/>
          <w:color w:val="auto"/>
          <w:sz w:val="20"/>
          <w:szCs w:val="20"/>
        </w:rPr>
        <w:t>y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41761E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C22BEF" w:rsidRPr="0041761E" w:rsidRDefault="00C22BEF" w:rsidP="0041761E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33661600-7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; 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33622800-4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; 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33622300-9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; 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33622100-7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; 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33622000-6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; 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33615000-4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; 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33141550-0</w:t>
      </w:r>
      <w:r w:rsidR="0068149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; 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33141540-7</w:t>
      </w:r>
      <w:r w:rsidR="0068149D" w:rsidRPr="0041761E">
        <w:rPr>
          <w:rFonts w:ascii="Verdana" w:eastAsia="Times New Roman" w:hAnsi="Verdana"/>
          <w:b/>
          <w:color w:val="auto"/>
          <w:sz w:val="20"/>
          <w:szCs w:val="20"/>
        </w:rPr>
        <w:t>; 33651510-6</w:t>
      </w:r>
    </w:p>
    <w:p w:rsidR="0008796D" w:rsidRPr="0041761E" w:rsidRDefault="0008796D" w:rsidP="0041761E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D447D9" w:rsidRPr="0041761E" w:rsidRDefault="001B717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  <w:r w:rsidRPr="0041761E">
        <w:rPr>
          <w:rFonts w:ascii="Verdana" w:hAnsi="Verdana"/>
          <w:color w:val="auto"/>
          <w:sz w:val="20"/>
          <w:szCs w:val="20"/>
        </w:rPr>
        <w:t>1</w:t>
      </w:r>
      <w:r w:rsidR="0068149D" w:rsidRPr="0041761E">
        <w:rPr>
          <w:rFonts w:ascii="Verdana" w:hAnsi="Verdana"/>
          <w:color w:val="auto"/>
          <w:sz w:val="20"/>
          <w:szCs w:val="20"/>
        </w:rPr>
        <w:t>0</w:t>
      </w:r>
      <w:r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 xml:space="preserve">zakazuje się udzielania lub dalszego wykonywania wszelkich zamówień publicznych lub koncesji objętych zakresem dyrektyw w sprawie zamówień </w:t>
      </w:r>
      <w:proofErr w:type="spellStart"/>
      <w:r w:rsidR="007A6F2F" w:rsidRPr="0041761E">
        <w:rPr>
          <w:rFonts w:ascii="Verdana" w:hAnsi="Verdana"/>
          <w:color w:val="auto"/>
          <w:sz w:val="20"/>
          <w:szCs w:val="20"/>
        </w:rPr>
        <w:t>publicznychna</w:t>
      </w:r>
      <w:proofErr w:type="spellEnd"/>
      <w:r w:rsidR="007A6F2F" w:rsidRPr="0041761E">
        <w:rPr>
          <w:rFonts w:ascii="Verdana" w:hAnsi="Verdana"/>
          <w:color w:val="auto"/>
          <w:sz w:val="20"/>
          <w:szCs w:val="20"/>
        </w:rPr>
        <w:t xml:space="preserve">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41761E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515E4" w:rsidRPr="0041761E" w:rsidRDefault="009515E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IV. na podstawie art. 108 ust.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z postępowania o udzielenie zamówienia, w przypadku zamówienia o wartości równej lub przekraczającej wyrażoną w złotych równowartość kwoty dla robót budowlanych - 20 000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euro, a dla dostaw lub usług - 10 000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euro, wyklucza się wykonawcę, który udaremnia lub utrudnia stwierdzenie przestępnego pochodzenia pieniędzy lub ukrywa ich pochodzenie, w związku z brakiem możliwości ustalenia beneficjenta rzeczywistego, w rozumieniu art. 2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ustawy z dnia 1 marca 2018 r. o przeciwdziałaniu praniu pieniędzy oraz finansowaniu terroryzmu (Dz. U. z 2022 r. poz. 593, 655 i 835).</w:t>
      </w:r>
    </w:p>
    <w:p w:rsidR="00C22BEF" w:rsidRPr="0041761E" w:rsidRDefault="00C22BE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41761E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41761E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B411A4" w:rsidRPr="0041761E" w:rsidRDefault="00B411A4" w:rsidP="0041761E">
      <w:pPr>
        <w:spacing w:line="276" w:lineRule="auto"/>
        <w:ind w:left="993" w:hanging="567"/>
        <w:jc w:val="both"/>
        <w:rPr>
          <w:rFonts w:ascii="Verdana" w:hAnsi="Verdana"/>
          <w:b/>
          <w:iCs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 xml:space="preserve">2.5 </w:t>
      </w:r>
      <w:r w:rsidR="00C22BEF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41761E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41761E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</w:t>
      </w:r>
      <w:r w:rsidR="009515E4" w:rsidRPr="0041761E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</w:t>
      </w:r>
      <w:proofErr w:type="spellStart"/>
      <w:r w:rsidR="009515E4" w:rsidRPr="0041761E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41761E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9515E4" w:rsidRPr="0041761E" w:rsidRDefault="009515E4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41761E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9515E4" w:rsidRPr="0041761E">
        <w:rPr>
          <w:rFonts w:ascii="Verdana" w:hAnsi="Verdana"/>
          <w:color w:val="auto"/>
          <w:sz w:val="20"/>
          <w:szCs w:val="20"/>
        </w:rPr>
        <w:t xml:space="preserve"> i </w:t>
      </w:r>
      <w:r w:rsidR="009515E4" w:rsidRPr="0041761E">
        <w:rPr>
          <w:rFonts w:ascii="Verdana" w:hAnsi="Verdana"/>
          <w:b/>
          <w:color w:val="auto"/>
          <w:sz w:val="20"/>
          <w:szCs w:val="20"/>
        </w:rPr>
        <w:t>3.3</w:t>
      </w:r>
      <w:r w:rsidR="00F2168F" w:rsidRPr="0041761E">
        <w:rPr>
          <w:rFonts w:ascii="Verdana" w:hAnsi="Verdana"/>
          <w:b/>
          <w:color w:val="auto"/>
          <w:sz w:val="20"/>
          <w:szCs w:val="20"/>
        </w:rPr>
        <w:t>.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B172AF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C22BEF" w:rsidRPr="0041761E">
        <w:rPr>
          <w:rFonts w:ascii="Verdana" w:hAnsi="Verdana"/>
          <w:color w:val="auto"/>
          <w:sz w:val="20"/>
          <w:szCs w:val="20"/>
        </w:rPr>
        <w:t xml:space="preserve">Agnieszka </w:t>
      </w:r>
      <w:proofErr w:type="spellStart"/>
      <w:r w:rsidR="00C22BEF" w:rsidRPr="0041761E">
        <w:rPr>
          <w:rFonts w:ascii="Verdana" w:hAnsi="Verdana"/>
          <w:color w:val="auto"/>
          <w:sz w:val="20"/>
          <w:szCs w:val="20"/>
        </w:rPr>
        <w:t>Sewastynowicz</w:t>
      </w:r>
      <w:proofErr w:type="spellEnd"/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41761E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41761E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41761E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150329" w:rsidRPr="0041761E">
        <w:rPr>
          <w:rFonts w:ascii="Verdana" w:hAnsi="Verdana"/>
          <w:b/>
          <w:color w:val="auto"/>
          <w:sz w:val="20"/>
          <w:szCs w:val="20"/>
        </w:rPr>
        <w:t>09.09</w:t>
      </w:r>
      <w:r w:rsidR="000A4214" w:rsidRPr="0041761E">
        <w:rPr>
          <w:rFonts w:ascii="Verdana" w:hAnsi="Verdana"/>
          <w:b/>
          <w:color w:val="auto"/>
          <w:sz w:val="20"/>
          <w:szCs w:val="20"/>
        </w:rPr>
        <w:t>.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202</w:t>
      </w:r>
      <w:r w:rsidR="0008796D" w:rsidRPr="0041761E">
        <w:rPr>
          <w:rFonts w:ascii="Verdana" w:hAnsi="Verdana"/>
          <w:b/>
          <w:color w:val="auto"/>
          <w:sz w:val="20"/>
          <w:szCs w:val="20"/>
        </w:rPr>
        <w:t>3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r.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9F165C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50329" w:rsidRPr="0041761E">
        <w:rPr>
          <w:rFonts w:ascii="Verdana" w:eastAsia="Times New Roman" w:hAnsi="Verdana"/>
          <w:b/>
          <w:color w:val="auto"/>
          <w:sz w:val="20"/>
          <w:szCs w:val="20"/>
        </w:rPr>
        <w:t>28.06</w:t>
      </w:r>
      <w:r w:rsidR="00FE3532" w:rsidRPr="0041761E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D5466" w:rsidRPr="0041761E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FE3532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50329" w:rsidRPr="0041761E">
        <w:rPr>
          <w:rFonts w:ascii="Verdana" w:eastAsia="Times New Roman" w:hAnsi="Verdana"/>
          <w:b/>
          <w:color w:val="auto"/>
          <w:sz w:val="20"/>
          <w:szCs w:val="20"/>
        </w:rPr>
        <w:t>28.06</w:t>
      </w:r>
      <w:r w:rsidR="00FE3532" w:rsidRPr="0041761E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2023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Sposób obliczenia ceny</w:t>
      </w:r>
      <w:bookmarkEnd w:id="18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41761E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41761E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9E110E" w:rsidRPr="0041761E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9E110E" w:rsidRPr="0041761E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SIWZ występują sztuki lub miligramy.</w:t>
      </w:r>
    </w:p>
    <w:p w:rsidR="009E110E" w:rsidRPr="0041761E" w:rsidRDefault="009E110E" w:rsidP="0041761E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6" w:hanging="426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samego.</w:t>
      </w:r>
    </w:p>
    <w:p w:rsidR="009E110E" w:rsidRPr="0041761E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We wszystkich pakietach  Zamawiający wymaga podania</w:t>
      </w:r>
      <w:r w:rsidRPr="0041761E">
        <w:rPr>
          <w:rFonts w:ascii="Verdana" w:hAnsi="Verdana"/>
          <w:b/>
          <w:bCs/>
          <w:sz w:val="20"/>
          <w:szCs w:val="20"/>
        </w:rPr>
        <w:t xml:space="preserve"> nazwy handlowej, postaci, dawki oraz wskazane jest podanie nazwy producenta i kodu EAN.</w:t>
      </w:r>
    </w:p>
    <w:p w:rsidR="009E110E" w:rsidRPr="0041761E" w:rsidRDefault="009E110E" w:rsidP="0041761E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41761E">
        <w:rPr>
          <w:rFonts w:ascii="Verdana" w:hAnsi="Verdana"/>
          <w:b/>
          <w:bCs/>
          <w:sz w:val="20"/>
          <w:szCs w:val="20"/>
        </w:rPr>
        <w:t xml:space="preserve">Zaoferowana cena jednostkowa leków w </w:t>
      </w:r>
      <w:r w:rsidRPr="0041761E">
        <w:rPr>
          <w:rFonts w:ascii="Verdana" w:hAnsi="Verdana"/>
          <w:b/>
          <w:bCs/>
          <w:i/>
          <w:sz w:val="20"/>
          <w:szCs w:val="20"/>
          <w:u w:val="single"/>
        </w:rPr>
        <w:t>pakiecie nr 1</w:t>
      </w:r>
      <w:r w:rsidRPr="0041761E">
        <w:rPr>
          <w:rFonts w:ascii="Verdana" w:hAnsi="Verdana"/>
          <w:b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stosowanych w ramach programu lekowego leczenia pierwotnych  niedoborów odporności u dorosłych.</w:t>
      </w:r>
    </w:p>
    <w:p w:rsidR="009E110E" w:rsidRPr="0041761E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41761E">
        <w:rPr>
          <w:rFonts w:ascii="Verdana" w:hAnsi="Verdana"/>
          <w:b/>
          <w:bCs/>
          <w:sz w:val="20"/>
          <w:szCs w:val="20"/>
        </w:rPr>
        <w:t xml:space="preserve">W przypadku występowania produktów leczniczych w postaci tabletek lub kapsułek doustnych pakowanych w opakowania typu butelka lub blister zamawiający wymaga zaoferowania leku w </w:t>
      </w:r>
      <w:proofErr w:type="spellStart"/>
      <w:r w:rsidRPr="0041761E">
        <w:rPr>
          <w:rFonts w:ascii="Verdana" w:hAnsi="Verdana"/>
          <w:b/>
          <w:bCs/>
          <w:sz w:val="20"/>
          <w:szCs w:val="20"/>
        </w:rPr>
        <w:t>blistrze</w:t>
      </w:r>
      <w:proofErr w:type="spellEnd"/>
      <w:r w:rsidRPr="0041761E">
        <w:rPr>
          <w:rFonts w:ascii="Verdana" w:hAnsi="Verdana"/>
          <w:b/>
          <w:bCs/>
          <w:sz w:val="20"/>
          <w:szCs w:val="20"/>
        </w:rPr>
        <w:t>.</w:t>
      </w:r>
    </w:p>
    <w:p w:rsidR="009E110E" w:rsidRPr="0041761E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41761E">
        <w:rPr>
          <w:rFonts w:ascii="Verdana" w:hAnsi="Verdana"/>
          <w:b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proofErr w:type="spellStart"/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>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fertyw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celu zawarcia umowy w sprawie Zamówienia publicznego</w:t>
      </w:r>
      <w:bookmarkEnd w:id="2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Domniemywa się, że zamawiający mógł zapoznać się z treścią odwołania przed upływem terminu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41761E">
        <w:rPr>
          <w:rFonts w:ascii="Verdana" w:hAnsi="Verdana"/>
          <w:color w:val="auto"/>
          <w:sz w:val="20"/>
          <w:szCs w:val="20"/>
        </w:rPr>
        <w:t>12.06</w:t>
      </w:r>
      <w:r w:rsidR="007622F3" w:rsidRPr="0041761E">
        <w:rPr>
          <w:rFonts w:ascii="Verdana" w:hAnsi="Verdana"/>
          <w:color w:val="auto"/>
          <w:sz w:val="20"/>
          <w:szCs w:val="20"/>
        </w:rPr>
        <w:t>.</w:t>
      </w:r>
      <w:r w:rsidR="00B45B02" w:rsidRPr="0041761E">
        <w:rPr>
          <w:rFonts w:ascii="Verdana" w:hAnsi="Verdana"/>
          <w:color w:val="auto"/>
          <w:sz w:val="20"/>
          <w:szCs w:val="20"/>
        </w:rPr>
        <w:t>2023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329" w:rsidRDefault="00150329">
      <w:r>
        <w:separator/>
      </w:r>
    </w:p>
    <w:p w:rsidR="00150329" w:rsidRDefault="00150329"/>
  </w:endnote>
  <w:endnote w:type="continuationSeparator" w:id="0">
    <w:p w:rsidR="00150329" w:rsidRDefault="00150329">
      <w:r>
        <w:continuationSeparator/>
      </w:r>
    </w:p>
    <w:p w:rsidR="00150329" w:rsidRDefault="0015032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15032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Pr="00657C4F">
      <w:rPr>
        <w:rFonts w:ascii="Verdana" w:hAnsi="Verdana"/>
        <w:sz w:val="14"/>
        <w:szCs w:val="14"/>
      </w:rPr>
      <w:fldChar w:fldCharType="separate"/>
    </w:r>
    <w:r w:rsidR="00397F29">
      <w:rPr>
        <w:rFonts w:ascii="Verdana" w:hAnsi="Verdana"/>
        <w:noProof/>
        <w:sz w:val="14"/>
        <w:szCs w:val="14"/>
      </w:rPr>
      <w:t>12</w:t>
    </w:r>
    <w:r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Pr="00657C4F">
      <w:rPr>
        <w:rFonts w:ascii="Verdana" w:hAnsi="Verdana"/>
        <w:sz w:val="14"/>
        <w:szCs w:val="14"/>
      </w:rPr>
      <w:fldChar w:fldCharType="separate"/>
    </w:r>
    <w:r w:rsidR="00397F29">
      <w:rPr>
        <w:rFonts w:ascii="Verdana" w:hAnsi="Verdana"/>
        <w:noProof/>
        <w:sz w:val="14"/>
        <w:szCs w:val="14"/>
      </w:rPr>
      <w:t>12</w:t>
    </w:r>
    <w:r w:rsidRPr="00657C4F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329" w:rsidRDefault="00150329">
      <w:r>
        <w:separator/>
      </w:r>
    </w:p>
    <w:p w:rsidR="00150329" w:rsidRDefault="00150329"/>
  </w:footnote>
  <w:footnote w:type="continuationSeparator" w:id="0">
    <w:p w:rsidR="00150329" w:rsidRDefault="00150329">
      <w:r>
        <w:continuationSeparator/>
      </w:r>
    </w:p>
    <w:p w:rsidR="00150329" w:rsidRDefault="0015032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49 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C66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5636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14B5-76EB-4892-A90F-6AE9DF6C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12</Pages>
  <Words>4807</Words>
  <Characters>28843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33583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41</cp:revision>
  <cp:lastPrinted>2023-06-12T09:22:00Z</cp:lastPrinted>
  <dcterms:created xsi:type="dcterms:W3CDTF">2023-01-24T10:13:00Z</dcterms:created>
  <dcterms:modified xsi:type="dcterms:W3CDTF">2023-06-12T09:22:00Z</dcterms:modified>
</cp:coreProperties>
</file>