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F676E8">
      <w:pPr>
        <w:keepLines/>
        <w:numPr>
          <w:ilvl w:val="0"/>
          <w:numId w:val="4"/>
        </w:numPr>
        <w:tabs>
          <w:tab w:val="clear" w:pos="1740"/>
        </w:tabs>
        <w:ind w:left="709" w:hanging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7D063B" w:rsidRPr="003A4347">
        <w:rPr>
          <w:rFonts w:eastAsia="SimSun"/>
          <w:b/>
          <w:bCs/>
          <w:sz w:val="22"/>
          <w:szCs w:val="22"/>
          <w:lang w:eastAsia="zh-CN"/>
        </w:rPr>
        <w:t xml:space="preserve">Zakup </w:t>
      </w:r>
      <w:r w:rsidR="0017200D" w:rsidRPr="003A4347">
        <w:rPr>
          <w:rFonts w:eastAsia="SimSun"/>
          <w:b/>
          <w:bCs/>
          <w:sz w:val="22"/>
          <w:szCs w:val="22"/>
          <w:lang w:eastAsia="zh-CN"/>
        </w:rPr>
        <w:t>aparatu do znieczulenia, defibrylatora oraz stołu operacyjnego</w:t>
      </w:r>
      <w:r w:rsidR="00F676E8" w:rsidRPr="003A4347">
        <w:rPr>
          <w:rFonts w:eastAsia="SimSun"/>
          <w:b/>
          <w:bCs/>
          <w:sz w:val="22"/>
          <w:szCs w:val="22"/>
          <w:lang w:eastAsia="zh-CN"/>
        </w:rPr>
        <w:t xml:space="preserve"> wraz z jego zainstalowaniem i uruchomieniem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 xml:space="preserve">) </w:t>
      </w:r>
      <w:r w:rsidR="007F669F" w:rsidRPr="003A4347">
        <w:rPr>
          <w:sz w:val="22"/>
          <w:szCs w:val="22"/>
        </w:rPr>
        <w:t xml:space="preserve">wraz z zainstalowaniem, </w:t>
      </w:r>
      <w:r w:rsidR="00A741A5" w:rsidRPr="003A4347">
        <w:rPr>
          <w:sz w:val="22"/>
          <w:szCs w:val="22"/>
        </w:rPr>
        <w:t>uruchomienie</w:t>
      </w:r>
      <w:r w:rsidR="007F669F" w:rsidRPr="003A4347">
        <w:rPr>
          <w:sz w:val="22"/>
          <w:szCs w:val="22"/>
        </w:rPr>
        <w:t>m oraz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A4347" w:rsidRPr="003A4347">
        <w:rPr>
          <w:sz w:val="22"/>
          <w:szCs w:val="22"/>
        </w:rPr>
        <w:t>23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F3099D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42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lastRenderedPageBreak/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F3099D" w:rsidRPr="00CD3196">
        <w:rPr>
          <w:b/>
          <w:sz w:val="22"/>
          <w:szCs w:val="22"/>
        </w:rPr>
        <w:t xml:space="preserve"> 10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>zakresie właściwej obsługi i konserwacji po instalacji</w:t>
      </w:r>
      <w:r w:rsidR="00A741A5" w:rsidRPr="00D576DF">
        <w:rPr>
          <w:sz w:val="22"/>
          <w:szCs w:val="22"/>
        </w:rPr>
        <w:t xml:space="preserve">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576DF" w:rsidRDefault="00FF00EF" w:rsidP="00D15833">
      <w:pPr>
        <w:pStyle w:val="Nagwek1"/>
        <w:rPr>
          <w:rFonts w:ascii="Times New Roman" w:hAnsi="Times New Roman"/>
        </w:rPr>
      </w:pPr>
    </w:p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lastRenderedPageBreak/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</w:t>
      </w:r>
      <w:bookmarkStart w:id="0" w:name="_GoBack"/>
      <w:bookmarkEnd w:id="0"/>
      <w:r w:rsidRPr="00D576DF">
        <w:rPr>
          <w:sz w:val="22"/>
          <w:szCs w:val="22"/>
        </w:rPr>
        <w:t>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1D" w:rsidRDefault="0002121D">
      <w:r>
        <w:separator/>
      </w:r>
    </w:p>
  </w:endnote>
  <w:endnote w:type="continuationSeparator" w:id="0">
    <w:p w:rsidR="0002121D" w:rsidRDefault="0002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05E5">
      <w:rPr>
        <w:noProof/>
      </w:rPr>
      <w:t>4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1D" w:rsidRDefault="0002121D">
      <w:r>
        <w:separator/>
      </w:r>
    </w:p>
  </w:footnote>
  <w:footnote w:type="continuationSeparator" w:id="0">
    <w:p w:rsidR="0002121D" w:rsidRDefault="00021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FF5C87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Calibri" w:hAnsi="Calibri"/>
        <w:noProof/>
        <w:sz w:val="20"/>
        <w:szCs w:val="20"/>
        <w:lang w:val="en-GB" w:eastAsia="en-GB"/>
      </w:rPr>
      <w:drawing>
        <wp:inline distT="0" distB="0" distL="0" distR="0" wp14:anchorId="30F75457" wp14:editId="1B6B632D">
          <wp:extent cx="5762625" cy="59055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7869F6">
      <w:rPr>
        <w:rFonts w:ascii="Arial" w:hAnsi="Arial" w:cs="Arial"/>
        <w:sz w:val="18"/>
        <w:lang w:val="de-DE"/>
      </w:rPr>
      <w:t>54</w:t>
    </w:r>
    <w:r w:rsidR="00003356">
      <w:rPr>
        <w:rFonts w:ascii="Arial" w:hAnsi="Arial" w:cs="Arial"/>
        <w:sz w:val="18"/>
        <w:lang w:val="de-DE"/>
      </w:rPr>
      <w:t>/2023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A41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05E5"/>
    <w:rsid w:val="00003356"/>
    <w:rsid w:val="00004EDB"/>
    <w:rsid w:val="00006F3D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62FF"/>
    <w:rsid w:val="004B1B28"/>
    <w:rsid w:val="004B75AF"/>
    <w:rsid w:val="004C573B"/>
    <w:rsid w:val="004E1EFE"/>
    <w:rsid w:val="004E32B7"/>
    <w:rsid w:val="00514D74"/>
    <w:rsid w:val="00517519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0B0E"/>
    <w:rsid w:val="007661D1"/>
    <w:rsid w:val="00783BBB"/>
    <w:rsid w:val="007869F6"/>
    <w:rsid w:val="00795532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629AB"/>
    <w:rsid w:val="00C73BC0"/>
    <w:rsid w:val="00C7735C"/>
    <w:rsid w:val="00C84E10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1535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10884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69</cp:revision>
  <cp:lastPrinted>2021-09-23T08:23:00Z</cp:lastPrinted>
  <dcterms:created xsi:type="dcterms:W3CDTF">2021-10-07T05:19:00Z</dcterms:created>
  <dcterms:modified xsi:type="dcterms:W3CDTF">2023-07-04T10:26:00Z</dcterms:modified>
</cp:coreProperties>
</file>