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51874">
        <w:rPr>
          <w:rFonts w:ascii="Verdana" w:hAnsi="Verdana" w:cstheme="minorHAnsi"/>
          <w:b w:val="0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b w:val="0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bezpośrednio związane </w:t>
      </w:r>
      <w:proofErr w:type="spellStart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zpostępowaniemo</w:t>
      </w:r>
      <w:proofErr w:type="spellEnd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internet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: </w:t>
      </w:r>
      <w:hyperlink r:id="rId9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nieograniczonego na podstawie art. 139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”</w:t>
      </w:r>
    </w:p>
    <w:p w:rsidR="00577364" w:rsidRPr="001D2432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  <w:highlight w:val="yellow"/>
        </w:rPr>
      </w:pPr>
      <w:r w:rsidRPr="001D2432">
        <w:rPr>
          <w:rFonts w:ascii="Verdana" w:hAnsi="Verdana" w:cstheme="minorHAnsi"/>
          <w:color w:val="auto"/>
          <w:sz w:val="20"/>
          <w:szCs w:val="20"/>
          <w:highlight w:val="yellow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D16730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  <w:highlight w:val="yellow"/>
        </w:rPr>
      </w:pPr>
      <w:r w:rsidRPr="00D16730">
        <w:rPr>
          <w:rFonts w:ascii="Verdana" w:hAnsi="Verdana" w:cstheme="minorHAnsi"/>
          <w:color w:val="auto"/>
          <w:sz w:val="20"/>
          <w:szCs w:val="20"/>
          <w:highlight w:val="yellow"/>
        </w:rPr>
        <w:lastRenderedPageBreak/>
        <w:t>Przedmiotem zamówienia jest kompleksowa dostawa paliwa gazowego dla Wielkopolskiego Centrum Pulmonologii i Torakochirurgii – szpitale w Poznaniu, Ludwikowie i Chodzieży.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Przedmiot zamówienia został szczegółowo opisany w załączniku nr 1 do SWZ, który jest jednocześnie formularzem c</w:t>
      </w:r>
      <w:r w:rsidR="001B7B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1B, 1C</w:t>
      </w:r>
      <w:r w:rsidRPr="00451874">
        <w:rPr>
          <w:rFonts w:ascii="Verdana" w:hAnsi="Verdana" w:cstheme="minorHAnsi"/>
          <w:color w:val="auto"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451874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D243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3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2) 12 miesięcy od skutecznego przeprowadzenia procedury zmiany sprzedawcy, jeżeli nastąpi  to po terminie wskazanym w pkt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 xml:space="preserve">Na podstawie art. 108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lastRenderedPageBreak/>
        <w:t>2)</w:t>
      </w:r>
      <w:r w:rsidRPr="00451874">
        <w:rPr>
          <w:rFonts w:ascii="Verdana" w:hAnsi="Verdana" w:cstheme="minorHAnsi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</w:t>
      </w:r>
      <w:r w:rsidRPr="00451874">
        <w:rPr>
          <w:rFonts w:ascii="Verdana" w:hAnsi="Verdana" w:cstheme="minorHAnsi"/>
          <w:sz w:val="20"/>
          <w:szCs w:val="20"/>
        </w:rPr>
        <w:lastRenderedPageBreak/>
        <w:t xml:space="preserve">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>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pkt 1 i 2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oświadczenia wykonawcy, w zakresie 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 xml:space="preserve">art. 109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3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6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W postępowaniu o udzielenie zamówienia komunikacja między Zamawiającym </w:t>
      </w:r>
      <w:r w:rsidRPr="00451874">
        <w:rPr>
          <w:rFonts w:ascii="Verdana" w:eastAsia="Times New Roman" w:hAnsi="Verdana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51874">
          <w:rPr>
            <w:rStyle w:val="Hipercze"/>
            <w:rFonts w:ascii="Verdana" w:eastAsia="Times New Roman" w:hAnsi="Verdana" w:cstheme="minorHAnsi"/>
            <w:sz w:val="20"/>
            <w:szCs w:val="20"/>
          </w:rPr>
          <w:t>przetargi@wcpit.org</w:t>
        </w:r>
      </w:hyperlink>
      <w:r w:rsidRPr="00451874">
        <w:rPr>
          <w:rFonts w:ascii="Verdana" w:eastAsia="Times New Roman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Szczegółowa instrukcja korzystania z SKE stanowi 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załącznik nr </w:t>
      </w:r>
      <w:r w:rsidR="001643B4" w:rsidRPr="00451874">
        <w:rPr>
          <w:rFonts w:ascii="Verdana" w:eastAsia="Times New Roman" w:hAnsi="Verdana" w:cstheme="minorHAnsi"/>
          <w:b/>
          <w:sz w:val="20"/>
          <w:szCs w:val="20"/>
        </w:rPr>
        <w:t>8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 do SWZ.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i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Identyfikator postępowania dla danego postępowania o udzielenie zamówienia dostępny jest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1874">
        <w:rPr>
          <w:rFonts w:ascii="Verdana" w:eastAsia="Times New Roman" w:hAnsi="Verdana" w:cstheme="minorHAnsi"/>
          <w:i/>
          <w:sz w:val="20"/>
          <w:szCs w:val="20"/>
        </w:rPr>
        <w:t xml:space="preserve">dedykowanego formularza dostępnego na SKE. </w:t>
      </w:r>
      <w:r w:rsidRPr="00451874">
        <w:rPr>
          <w:rFonts w:ascii="Verdana" w:eastAsia="Times New Roman" w:hAnsi="Verdana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7364" w:rsidRPr="00451874" w:rsidRDefault="00577364" w:rsidP="00451874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  <w:u w:val="single"/>
        </w:rPr>
        <w:t>Wykonawca chcąc złożyć ofertę</w:t>
      </w:r>
      <w:r w:rsidRPr="00451874">
        <w:rPr>
          <w:rFonts w:ascii="Verdana" w:hAnsi="Verdana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– „Kleopatra” gpg4win udostępnionym na stronie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https://www.gpg4win.org/index.html  (Windows) (patrz pkt. 7.2.1 instrukcji SKE)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– „GPG Suite” udostępnionym na stronie  </w:t>
      </w:r>
    </w:p>
    <w:p w:rsidR="00577364" w:rsidRPr="00451874" w:rsidRDefault="008F434E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hyperlink r:id="rId11" w:history="1">
        <w:r w:rsidR="00577364" w:rsidRPr="00451874">
          <w:rPr>
            <w:rStyle w:val="Hipercze"/>
            <w:rFonts w:ascii="Verdana" w:hAnsi="Verdana" w:cstheme="minorHAnsi"/>
            <w:sz w:val="20"/>
            <w:szCs w:val="20"/>
          </w:rPr>
          <w:t>https://gpgtools.org</w:t>
        </w:r>
      </w:hyperlink>
      <w:r w:rsidR="00577364" w:rsidRPr="00451874">
        <w:rPr>
          <w:rFonts w:ascii="Verdana" w:hAnsi="Verdana" w:cstheme="minorHAnsi"/>
          <w:sz w:val="20"/>
          <w:szCs w:val="20"/>
        </w:rPr>
        <w:t xml:space="preserve"> (</w:t>
      </w:r>
      <w:proofErr w:type="spellStart"/>
      <w:r w:rsidR="00577364" w:rsidRPr="00451874">
        <w:rPr>
          <w:rFonts w:ascii="Verdana" w:hAnsi="Verdana" w:cstheme="minorHAnsi"/>
          <w:sz w:val="20"/>
          <w:szCs w:val="20"/>
        </w:rPr>
        <w:t>MacOS</w:t>
      </w:r>
      <w:proofErr w:type="spellEnd"/>
      <w:r w:rsidR="00577364" w:rsidRPr="00451874">
        <w:rPr>
          <w:rFonts w:ascii="Verdana" w:hAnsi="Verdana" w:cstheme="minorHAnsi"/>
          <w:sz w:val="20"/>
          <w:szCs w:val="20"/>
        </w:rPr>
        <w:t>, Linux) (patrz pkt. 7.2.2 instrukcji SKE)</w:t>
      </w:r>
    </w:p>
    <w:p w:rsidR="00577364" w:rsidRPr="00451874" w:rsidRDefault="00577364" w:rsidP="00451874">
      <w:pPr>
        <w:widowControl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eastAsia="Calibri" w:hAnsi="Verdana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</w:t>
      </w:r>
      <w:r w:rsidRPr="00451874">
        <w:rPr>
          <w:rFonts w:ascii="Verdana" w:eastAsia="Calibri" w:hAnsi="Verdana" w:cstheme="minorHAnsi"/>
          <w:sz w:val="20"/>
          <w:szCs w:val="20"/>
          <w:lang w:eastAsia="en-US"/>
        </w:rPr>
        <w:lastRenderedPageBreak/>
        <w:t>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bookmarkEnd w:id="10"/>
      <w:proofErr w:type="spellEnd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5B73DA" w:rsidRPr="00451874">
        <w:rPr>
          <w:rFonts w:ascii="Verdana" w:hAnsi="Verdana" w:cstheme="minorHAnsi"/>
          <w:sz w:val="20"/>
          <w:szCs w:val="20"/>
        </w:rPr>
        <w:t>Marzena Buksa</w:t>
      </w:r>
      <w:r w:rsidRPr="00451874">
        <w:rPr>
          <w:rFonts w:ascii="Verdana" w:hAnsi="Verdana" w:cstheme="minorHAnsi"/>
          <w:sz w:val="20"/>
          <w:szCs w:val="20"/>
        </w:rPr>
        <w:t xml:space="preserve"> –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tel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61 66 54 </w:t>
      </w:r>
      <w:r w:rsidR="005B73DA" w:rsidRPr="00451874">
        <w:rPr>
          <w:rFonts w:ascii="Verdana" w:hAnsi="Verdana" w:cstheme="minorHAnsi"/>
          <w:sz w:val="20"/>
          <w:szCs w:val="20"/>
        </w:rPr>
        <w:t>336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2C11F9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25</w:t>
      </w:r>
      <w:r w:rsidR="00EB1CA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.11.2023</w:t>
      </w: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3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3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4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2C11F9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28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.08.2023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5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2C11F9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28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.08.2023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 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2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6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lastRenderedPageBreak/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8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8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9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lastRenderedPageBreak/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dostawa paliwa gazowego – gazu wysokometanowego.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t.j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. Dz. U. z 2012 r. poz. 1059 z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późn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70%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zmiany mocy umownej, w przypadku innego zapotrzebowania na moc, niż określono w dokumentacji projektowej po otrzymaniu zgody na taką zmianę od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Operatora Systemu Dystrybucyjnego, do którego sieci przyłączony jest dany punkt poboru.</w:t>
      </w:r>
    </w:p>
    <w:p w:rsidR="00E738BF" w:rsidRDefault="00AE184A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Strony przewiduj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liwo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dokonania zmiany umowy poprzez waloryzacj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wynagrodzenia o wska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nik cen towar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i us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ug konsumpcyjnych (kwarta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do poprzedniego kwarta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u) og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aszany w komunikacie Prezesa G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wnego Urz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du Statystycznego (dalej jako 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„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wska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nik waloryzacji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”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) w przypadku zmiany ceny materia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lub koszt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w zwi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zanych z realizacj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 zam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 xml:space="preserve">wienia, przy 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cznym spe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nieniu nast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puj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cych postanowie</w:t>
      </w:r>
      <w:r w:rsidR="006467D7" w:rsidRPr="006467D7">
        <w:rPr>
          <w:rFonts w:ascii="Verdana" w:hAnsi="Verdana" w:cstheme="minorHAnsi" w:hint="cs"/>
          <w:color w:val="auto"/>
          <w:sz w:val="20"/>
          <w:szCs w:val="20"/>
        </w:rPr>
        <w:t>ń</w:t>
      </w:r>
      <w:r w:rsidR="006467D7" w:rsidRPr="006467D7">
        <w:rPr>
          <w:rFonts w:ascii="Verdana" w:hAnsi="Verdana" w:cstheme="minorHAnsi"/>
          <w:color w:val="auto"/>
          <w:sz w:val="20"/>
          <w:szCs w:val="20"/>
        </w:rPr>
        <w:t>: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strona Umowy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pierwszym wnio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skiem o waloryzację po upływie </w:t>
      </w:r>
      <w:r w:rsidR="00AE184A">
        <w:rPr>
          <w:rFonts w:ascii="Verdana" w:hAnsi="Verdana" w:cstheme="minorHAnsi"/>
          <w:color w:val="auto"/>
          <w:sz w:val="20"/>
          <w:szCs w:val="20"/>
        </w:rPr>
        <w:t>3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 miesięcy </w:t>
      </w:r>
      <w:r w:rsidRPr="006467D7">
        <w:rPr>
          <w:rFonts w:ascii="Verdana" w:hAnsi="Verdana" w:cstheme="minorHAnsi"/>
          <w:color w:val="auto"/>
          <w:sz w:val="20"/>
          <w:szCs w:val="20"/>
        </w:rPr>
        <w:t>od dnia up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ywu terminu sk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adania ofert)  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strona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wnioskiem, je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eli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 waloryzacji zmieni 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o co najmniej 10% w stosunku do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 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zuj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cego w dniu otwarcia ofert;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w przypadku wzrostu lub obni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waloryzacji, waloryzacja b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dzie polega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a odpowiednio na wzro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6467D7">
        <w:rPr>
          <w:rFonts w:ascii="Verdana" w:hAnsi="Verdana" w:cstheme="minorHAnsi"/>
          <w:color w:val="auto"/>
          <w:sz w:val="20"/>
          <w:szCs w:val="20"/>
        </w:rPr>
        <w:t>cie lub obni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eniu wynagrodzenia za us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ugi realizowane po dniu 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wniosku o warto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procentow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nika waloryzacji, przy czym strona Umowy mo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 wyst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pi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 wnioskiem o 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d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kolejn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waloryzacj</w:t>
      </w:r>
      <w:r w:rsidR="00AE184A" w:rsidRPr="00AE184A">
        <w:rPr>
          <w:rFonts w:ascii="Verdana" w:hAnsi="Verdana" w:cstheme="minorHAnsi"/>
          <w:color w:val="auto"/>
          <w:sz w:val="20"/>
          <w:szCs w:val="20"/>
        </w:rPr>
        <w:t xml:space="preserve">ę nie wcześniej niż po upływie </w:t>
      </w:r>
      <w:r w:rsidR="00AE184A">
        <w:rPr>
          <w:rFonts w:ascii="Verdana" w:hAnsi="Verdana" w:cstheme="minorHAnsi"/>
          <w:color w:val="auto"/>
          <w:sz w:val="20"/>
          <w:szCs w:val="20"/>
        </w:rPr>
        <w:t>3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miesi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cy od poprzedniej waloryzacji 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 w:hint="cs"/>
          <w:color w:val="auto"/>
          <w:sz w:val="20"/>
          <w:szCs w:val="20"/>
        </w:rPr>
        <w:t>„</w:t>
      </w:r>
      <w:r w:rsidRPr="006467D7">
        <w:rPr>
          <w:rFonts w:ascii="Verdana" w:hAnsi="Verdana" w:cstheme="minorHAnsi"/>
          <w:color w:val="auto"/>
          <w:sz w:val="20"/>
          <w:szCs w:val="20"/>
        </w:rPr>
        <w:t>wska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ź</w:t>
      </w:r>
      <w:r w:rsidRPr="006467D7">
        <w:rPr>
          <w:rFonts w:ascii="Verdana" w:hAnsi="Verdana" w:cstheme="minorHAnsi"/>
          <w:color w:val="auto"/>
          <w:sz w:val="20"/>
          <w:szCs w:val="20"/>
        </w:rPr>
        <w:t>nik waloryzacji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”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nie dotyczy </w:t>
      </w:r>
      <w:r w:rsidR="00AE184A">
        <w:rPr>
          <w:rFonts w:ascii="Verdana" w:hAnsi="Verdana" w:cstheme="minorHAnsi"/>
          <w:color w:val="auto"/>
          <w:sz w:val="20"/>
          <w:szCs w:val="20"/>
        </w:rPr>
        <w:t>dostaw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 zrealizowanych przed dat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enia wniosku o zmian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wysoko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6467D7">
        <w:rPr>
          <w:rFonts w:ascii="Verdana" w:hAnsi="Verdana" w:cstheme="minorHAnsi"/>
          <w:color w:val="auto"/>
          <w:sz w:val="20"/>
          <w:szCs w:val="20"/>
        </w:rPr>
        <w:t>ci wynagrodzenia przez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kolwiek ze Stron umowy,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maksymalna warto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zmiany wynagrodzenia brutto, jak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dopuszcza Zamawiaj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 w efekcie zastosowania niniejszych postanowie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6467D7">
        <w:rPr>
          <w:rFonts w:ascii="Verdana" w:hAnsi="Verdana" w:cstheme="minorHAnsi"/>
          <w:color w:val="auto"/>
          <w:sz w:val="20"/>
          <w:szCs w:val="20"/>
        </w:rPr>
        <w:t>, nie przekroczy 15% wynagrodzenia brutto Wykonawcy, ustalonego w dniu zawarcia Umowy.</w:t>
      </w:r>
    </w:p>
    <w:p w:rsidR="00E738BF" w:rsidRDefault="006467D7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6467D7">
        <w:rPr>
          <w:rFonts w:ascii="Verdana" w:hAnsi="Verdana" w:cstheme="minorHAnsi"/>
          <w:color w:val="auto"/>
          <w:sz w:val="20"/>
          <w:szCs w:val="20"/>
        </w:rPr>
        <w:t>Wykonawca,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rego wynagrodzenie zosta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o zmienione </w:t>
      </w:r>
      <w:r w:rsidR="00AE184A">
        <w:rPr>
          <w:rFonts w:ascii="Verdana" w:hAnsi="Verdana" w:cstheme="minorHAnsi"/>
          <w:color w:val="auto"/>
          <w:sz w:val="20"/>
          <w:szCs w:val="20"/>
        </w:rPr>
        <w:t xml:space="preserve">na zasadach określonych powyżej </w:t>
      </w:r>
      <w:bookmarkStart w:id="20" w:name="_GoBack"/>
      <w:bookmarkEnd w:id="20"/>
      <w:r w:rsidRPr="006467D7">
        <w:rPr>
          <w:rFonts w:ascii="Verdana" w:hAnsi="Verdana" w:cstheme="minorHAnsi"/>
          <w:color w:val="auto"/>
          <w:sz w:val="20"/>
          <w:szCs w:val="20"/>
        </w:rPr>
        <w:t>zobowi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zany jest do zmiany wynagrodzenia przys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uguj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cego podwykonawcy, z kt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rym zawar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umow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, w zakresie odpowiadaj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cym zmianom cen materia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łó</w:t>
      </w:r>
      <w:r w:rsidRPr="006467D7">
        <w:rPr>
          <w:rFonts w:ascii="Verdana" w:hAnsi="Verdana" w:cstheme="minorHAnsi"/>
          <w:color w:val="auto"/>
          <w:sz w:val="20"/>
          <w:szCs w:val="20"/>
        </w:rPr>
        <w:t>w lub koszt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6467D7">
        <w:rPr>
          <w:rFonts w:ascii="Verdana" w:hAnsi="Verdana" w:cstheme="minorHAnsi"/>
          <w:color w:val="auto"/>
          <w:sz w:val="20"/>
          <w:szCs w:val="20"/>
        </w:rPr>
        <w:t>w dotycz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cych zobowi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zania podwykonawcy je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6467D7">
        <w:rPr>
          <w:rFonts w:ascii="Verdana" w:hAnsi="Verdana" w:cstheme="minorHAnsi"/>
          <w:color w:val="auto"/>
          <w:sz w:val="20"/>
          <w:szCs w:val="20"/>
        </w:rPr>
        <w:t>eli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 </w:t>
      </w:r>
      <w:r w:rsidRPr="006467D7">
        <w:rPr>
          <w:rFonts w:ascii="Verdana" w:hAnsi="Verdana" w:cstheme="minorHAnsi"/>
          <w:color w:val="auto"/>
          <w:sz w:val="20"/>
          <w:szCs w:val="20"/>
        </w:rPr>
        <w:t>przedmiotem umowy 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 xml:space="preserve"> roboty budowlane, dostawy lub us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6467D7">
        <w:rPr>
          <w:rFonts w:ascii="Verdana" w:hAnsi="Verdana" w:cstheme="minorHAnsi"/>
          <w:color w:val="auto"/>
          <w:sz w:val="20"/>
          <w:szCs w:val="20"/>
        </w:rPr>
        <w:t>ugi, a okres obowi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6467D7">
        <w:rPr>
          <w:rFonts w:ascii="Verdana" w:hAnsi="Verdana" w:cstheme="minorHAnsi"/>
          <w:color w:val="auto"/>
          <w:sz w:val="20"/>
          <w:szCs w:val="20"/>
        </w:rPr>
        <w:t>zywania umowy przekracza 6 miesi</w:t>
      </w:r>
      <w:r w:rsidRPr="006467D7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6467D7">
        <w:rPr>
          <w:rFonts w:ascii="Verdana" w:hAnsi="Verdana" w:cstheme="minorHAnsi"/>
          <w:color w:val="auto"/>
          <w:sz w:val="20"/>
          <w:szCs w:val="20"/>
        </w:rPr>
        <w:t>cy.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Zamawiający oświadcza, że dysponuje tytułem prawnym do korzystania z obiektu do którego na podstawie umowy dostarczane ma być paliwo gazowe.</w:t>
      </w:r>
    </w:p>
    <w:p w:rsidR="00B24F2A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Należności będą płatne przez Zamawiającego przelewem na rachunek o nr </w:t>
      </w:r>
      <w:r w:rsidRPr="00834096">
        <w:rPr>
          <w:rFonts w:ascii="Verdana" w:hAnsi="Verdana" w:cstheme="minorHAnsi"/>
          <w:color w:val="auto"/>
          <w:sz w:val="20"/>
          <w:szCs w:val="20"/>
          <w:highlight w:val="yellow"/>
        </w:rPr>
        <w:t xml:space="preserve">…………………………………………………………., w terminie </w:t>
      </w:r>
      <w:r w:rsidRPr="008340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do 30 dni</w:t>
      </w:r>
      <w:r w:rsidRPr="00834096">
        <w:rPr>
          <w:rFonts w:ascii="Verdana" w:hAnsi="Verdana" w:cstheme="minorHAnsi"/>
          <w:color w:val="auto"/>
          <w:sz w:val="20"/>
          <w:szCs w:val="20"/>
          <w:highlight w:val="yellow"/>
        </w:rPr>
        <w:t xml:space="preserve"> od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daty doręczenia Zamawiającemu wystawionej faktury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1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Domniemywa się, że zamawiający mógł zapoznać się z treścią odwołania przed </w:t>
      </w:r>
      <w:r w:rsidRPr="00451874">
        <w:rPr>
          <w:rFonts w:ascii="Verdana" w:hAnsi="Verdana" w:cstheme="minorHAnsi"/>
          <w:sz w:val="20"/>
          <w:szCs w:val="20"/>
        </w:rPr>
        <w:lastRenderedPageBreak/>
        <w:t>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2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2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3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4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5" w:name="_Toc64559040"/>
      <w:r w:rsidRPr="00451874">
        <w:rPr>
          <w:rFonts w:ascii="Verdana" w:hAnsi="Verdana" w:cstheme="minorHAnsi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51874">
        <w:rPr>
          <w:rFonts w:ascii="Verdana" w:hAnsi="Verdana" w:cstheme="minorHAnsi"/>
          <w:sz w:val="20"/>
          <w:szCs w:val="20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  <w:bookmarkEnd w:id="25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6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6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lastRenderedPageBreak/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A, 1B, 1C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9766FE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2023 i 2024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577364" w:rsidRPr="00834096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</w:p>
    <w:p w:rsidR="007F4043" w:rsidRPr="00451874" w:rsidRDefault="002C11F9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21</w:t>
      </w:r>
      <w:r w:rsidR="00A07355" w:rsidRPr="00834096">
        <w:rPr>
          <w:rFonts w:ascii="Verdana" w:hAnsi="Verdana" w:cstheme="minorHAnsi"/>
          <w:i/>
          <w:color w:val="auto"/>
          <w:sz w:val="20"/>
          <w:szCs w:val="20"/>
        </w:rPr>
        <w:t>.0</w:t>
      </w:r>
      <w:r w:rsidR="00834C2A" w:rsidRPr="00834096">
        <w:rPr>
          <w:rFonts w:ascii="Verdana" w:hAnsi="Verdana" w:cstheme="minorHAnsi"/>
          <w:i/>
          <w:color w:val="auto"/>
          <w:sz w:val="20"/>
          <w:szCs w:val="20"/>
        </w:rPr>
        <w:t>7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.202</w:t>
      </w:r>
      <w:r>
        <w:rPr>
          <w:rFonts w:ascii="Verdana" w:hAnsi="Verdana" w:cstheme="minorHAnsi"/>
          <w:i/>
          <w:color w:val="auto"/>
          <w:sz w:val="20"/>
          <w:szCs w:val="20"/>
        </w:rPr>
        <w:t>3</w:t>
      </w:r>
    </w:p>
    <w:sectPr w:rsidR="007F4043" w:rsidRPr="00451874" w:rsidSect="002D0BAF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30" w:rsidRDefault="00D16730">
      <w:r>
        <w:separator/>
      </w:r>
    </w:p>
    <w:p w:rsidR="00D16730" w:rsidRDefault="00D16730"/>
  </w:endnote>
  <w:endnote w:type="continuationSeparator" w:id="0">
    <w:p w:rsidR="00D16730" w:rsidRDefault="00D16730">
      <w:r>
        <w:continuationSeparator/>
      </w:r>
    </w:p>
    <w:p w:rsidR="00D16730" w:rsidRDefault="00D167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30" w:rsidRDefault="00D1673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6730" w:rsidRDefault="00D16730" w:rsidP="00487F43">
    <w:pPr>
      <w:pStyle w:val="Stopka"/>
      <w:ind w:right="360"/>
    </w:pPr>
  </w:p>
  <w:p w:rsidR="00D16730" w:rsidRDefault="00D167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30" w:rsidRPr="00987333" w:rsidRDefault="00D1673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581910">
      <w:rPr>
        <w:rFonts w:ascii="Times New Roman" w:hAnsi="Times New Roman"/>
        <w:b/>
        <w:noProof/>
        <w:sz w:val="14"/>
        <w:szCs w:val="14"/>
      </w:rPr>
      <w:t>17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581910">
      <w:rPr>
        <w:rFonts w:ascii="Times New Roman" w:hAnsi="Times New Roman"/>
        <w:noProof/>
        <w:sz w:val="14"/>
        <w:szCs w:val="14"/>
      </w:rPr>
      <w:t>17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30" w:rsidRDefault="00D16730">
      <w:r>
        <w:separator/>
      </w:r>
    </w:p>
    <w:p w:rsidR="00D16730" w:rsidRDefault="00D16730"/>
  </w:footnote>
  <w:footnote w:type="continuationSeparator" w:id="0">
    <w:p w:rsidR="00D16730" w:rsidRDefault="00D16730">
      <w:r>
        <w:continuationSeparator/>
      </w:r>
    </w:p>
    <w:p w:rsidR="00D16730" w:rsidRDefault="00D167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30" w:rsidRPr="00D447D9" w:rsidRDefault="00D16730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44/2023</w:t>
    </w:r>
  </w:p>
  <w:p w:rsidR="00D16730" w:rsidRPr="00015936" w:rsidRDefault="00D1673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30" w:rsidRPr="00004D56" w:rsidRDefault="00D1673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44/2023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71A1-6B37-4FC0-9998-D8A22F06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4988</Words>
  <Characters>29931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34850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2023-07-21T07:23:00Z</cp:lastPrinted>
  <dcterms:created xsi:type="dcterms:W3CDTF">2023-07-19T14:13:00Z</dcterms:created>
  <dcterms:modified xsi:type="dcterms:W3CDTF">2023-07-21T11:54:00Z</dcterms:modified>
</cp:coreProperties>
</file>