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sz w:val="20"/>
          <w:szCs w:val="20"/>
        </w:rPr>
      </w:pPr>
      <w:r w:rsidRPr="00D43C1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8B0165" w:rsidP="00D43C11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D43C1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D43C11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D43C11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>mniejszej niż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D43C1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43C1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F041F4" w:rsidP="00D43C11">
      <w:pPr>
        <w:keepLines/>
        <w:jc w:val="center"/>
        <w:rPr>
          <w:rFonts w:ascii="Verdana" w:hAnsi="Verdana"/>
          <w:b/>
          <w:sz w:val="20"/>
          <w:szCs w:val="20"/>
        </w:rPr>
      </w:pPr>
      <w:r w:rsidRPr="00F041F4">
        <w:rPr>
          <w:rFonts w:ascii="Verdana" w:hAnsi="Verdana"/>
          <w:b/>
          <w:color w:val="auto"/>
          <w:sz w:val="20"/>
          <w:szCs w:val="20"/>
        </w:rPr>
        <w:t xml:space="preserve">Zakup </w:t>
      </w:r>
      <w:r w:rsidR="0024788F">
        <w:rPr>
          <w:rFonts w:ascii="Verdana" w:hAnsi="Verdana"/>
          <w:b/>
          <w:color w:val="auto"/>
          <w:sz w:val="20"/>
          <w:szCs w:val="20"/>
        </w:rPr>
        <w:t>cyfrowego</w:t>
      </w:r>
      <w:r w:rsidR="005E0B3A">
        <w:rPr>
          <w:rFonts w:ascii="Verdana" w:hAnsi="Verdana"/>
          <w:b/>
          <w:color w:val="auto"/>
          <w:sz w:val="20"/>
          <w:szCs w:val="20"/>
        </w:rPr>
        <w:t xml:space="preserve"> zestaw</w:t>
      </w:r>
      <w:r w:rsidR="009956E0">
        <w:rPr>
          <w:rFonts w:ascii="Verdana" w:hAnsi="Verdana"/>
          <w:b/>
          <w:color w:val="auto"/>
          <w:sz w:val="20"/>
          <w:szCs w:val="20"/>
        </w:rPr>
        <w:t>u</w:t>
      </w:r>
      <w:r w:rsidR="005E0B3A">
        <w:rPr>
          <w:rFonts w:ascii="Verdana" w:hAnsi="Verdana"/>
          <w:b/>
          <w:color w:val="auto"/>
          <w:sz w:val="20"/>
          <w:szCs w:val="20"/>
        </w:rPr>
        <w:t xml:space="preserve"> do drenażu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023C2F" w:rsidRPr="00023C2F" w:rsidRDefault="00023C2F" w:rsidP="00023C2F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023C2F">
        <w:rPr>
          <w:rFonts w:ascii="Verdana" w:eastAsia="SimSun" w:hAnsi="Verdana"/>
          <w:b/>
          <w:bCs/>
          <w:sz w:val="20"/>
          <w:szCs w:val="20"/>
          <w:lang w:eastAsia="zh-CN"/>
        </w:rPr>
        <w:t>Źródło finansowania – dotacje Ministerstwa Zdrowia</w:t>
      </w:r>
    </w:p>
    <w:p w:rsidR="00333AAB" w:rsidRPr="00D43C11" w:rsidRDefault="00023C2F" w:rsidP="00023C2F">
      <w:pPr>
        <w:keepLines/>
        <w:jc w:val="center"/>
        <w:rPr>
          <w:rFonts w:ascii="Verdana" w:hAnsi="Verdana"/>
          <w:b/>
          <w:sz w:val="20"/>
          <w:szCs w:val="20"/>
        </w:rPr>
      </w:pPr>
      <w:r w:rsidRPr="00023C2F">
        <w:rPr>
          <w:rFonts w:ascii="Verdana" w:eastAsia="SimSun" w:hAnsi="Verdana"/>
          <w:b/>
          <w:bCs/>
          <w:sz w:val="20"/>
          <w:szCs w:val="20"/>
          <w:lang w:eastAsia="zh-CN"/>
        </w:rPr>
        <w:t>w ra</w:t>
      </w:r>
      <w:r>
        <w:rPr>
          <w:rFonts w:ascii="Verdana" w:eastAsia="SimSun" w:hAnsi="Verdana"/>
          <w:b/>
          <w:bCs/>
          <w:sz w:val="20"/>
          <w:szCs w:val="20"/>
          <w:lang w:eastAsia="zh-CN"/>
        </w:rPr>
        <w:t>mach Narodowej Strategii Onkologicznej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Pr="00D43C11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E4610" w:rsidRPr="00D43C11" w:rsidRDefault="00EE4610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126C14" w:rsidRPr="00D43C11" w:rsidRDefault="00126C1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Pr="00D43C11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D43C11" w:rsidRDefault="00832E16" w:rsidP="00BC28C7">
      <w:pPr>
        <w:keepLines/>
        <w:rPr>
          <w:rFonts w:ascii="Verdana" w:hAnsi="Verdana"/>
          <w:b/>
          <w:sz w:val="20"/>
          <w:szCs w:val="20"/>
        </w:rPr>
      </w:pPr>
    </w:p>
    <w:p w:rsidR="002D0BAF" w:rsidRPr="00D43C11" w:rsidRDefault="002D0BAF" w:rsidP="00D43C11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D43C11" w:rsidRDefault="002038CF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D43C1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D43C1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Numer telefonu: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717274" w:rsidRPr="00D43C1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D43C11">
        <w:rPr>
          <w:rFonts w:ascii="Verdana" w:hAnsi="Verdana"/>
          <w:bCs/>
          <w:sz w:val="20"/>
          <w:szCs w:val="20"/>
        </w:rPr>
        <w:t>336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poczty elektronicznej: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B335FA" w:rsidRPr="00D43C11">
        <w:rPr>
          <w:rFonts w:ascii="Verdana" w:hAnsi="Verdana"/>
          <w:sz w:val="20"/>
          <w:szCs w:val="20"/>
        </w:rPr>
        <w:t>przetargi@wcpit.org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D43C11" w:rsidRDefault="00B335FA" w:rsidP="00D43C11">
      <w:pPr>
        <w:rPr>
          <w:rFonts w:ascii="Verdana" w:hAnsi="Verdana"/>
          <w:sz w:val="20"/>
          <w:szCs w:val="20"/>
          <w:lang w:val="en-US"/>
        </w:rPr>
      </w:pPr>
      <w:r w:rsidRPr="00D43C1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  <w:lang w:val="en-GB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D43C11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D43C11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ED79C8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D43C11">
        <w:rPr>
          <w:rFonts w:ascii="Verdana" w:hAnsi="Verdana"/>
          <w:sz w:val="20"/>
          <w:szCs w:val="20"/>
        </w:rPr>
        <w:t xml:space="preserve">mniejsza </w:t>
      </w:r>
      <w:r w:rsidRPr="00D43C11">
        <w:rPr>
          <w:rFonts w:ascii="Verdana" w:hAnsi="Verdana"/>
          <w:sz w:val="20"/>
          <w:szCs w:val="20"/>
        </w:rPr>
        <w:t>niż kwota określona w art. 3 ust. 1 ustawy.</w:t>
      </w:r>
    </w:p>
    <w:p w:rsidR="00F041F4" w:rsidRPr="00023C2F" w:rsidRDefault="00F041F4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023C2F">
        <w:rPr>
          <w:rFonts w:ascii="Verdana" w:hAnsi="Verdana"/>
          <w:sz w:val="20"/>
          <w:szCs w:val="20"/>
        </w:rPr>
        <w:t xml:space="preserve">Przedmiot zamówienia ma być finansowany ze środków finansowych </w:t>
      </w:r>
      <w:r w:rsidR="00023C2F" w:rsidRPr="00023C2F">
        <w:rPr>
          <w:rFonts w:ascii="Verdana" w:hAnsi="Verdana"/>
          <w:sz w:val="20"/>
          <w:szCs w:val="20"/>
        </w:rPr>
        <w:t>Ministerstwa Zdrowia na realizację Narodowej Strategii Onkologicznej, w zakresie zadania pn.: „Zakup sprzętu do diagnostyki i leczenia raka p</w:t>
      </w:r>
      <w:r w:rsidR="0057600E">
        <w:rPr>
          <w:rFonts w:ascii="Verdana" w:hAnsi="Verdana"/>
          <w:sz w:val="20"/>
          <w:szCs w:val="20"/>
        </w:rPr>
        <w:t>ł</w:t>
      </w:r>
      <w:r w:rsidR="00023C2F" w:rsidRPr="00023C2F">
        <w:rPr>
          <w:rFonts w:ascii="Verdana" w:hAnsi="Verdana"/>
          <w:sz w:val="20"/>
          <w:szCs w:val="20"/>
        </w:rPr>
        <w:t>uca” dla torakochirurgii na lata 2023-2024.</w:t>
      </w:r>
    </w:p>
    <w:p w:rsidR="0099338A" w:rsidRPr="00D43C11" w:rsidRDefault="0099338A" w:rsidP="00D43C11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D43C11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26376C" w:rsidRPr="0026376C" w:rsidRDefault="0026376C" w:rsidP="000159C0">
      <w:pPr>
        <w:widowControl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Przedmiotem zamówienia jest </w:t>
      </w:r>
      <w:r w:rsidRPr="0026376C">
        <w:rPr>
          <w:rFonts w:ascii="Verdana" w:hAnsi="Verdana"/>
          <w:b/>
          <w:bCs/>
          <w:sz w:val="20"/>
          <w:szCs w:val="20"/>
        </w:rPr>
        <w:t>„</w:t>
      </w:r>
      <w:r w:rsidRPr="0026376C">
        <w:rPr>
          <w:rFonts w:ascii="Verdana" w:eastAsia="SimSun" w:hAnsi="Verdana"/>
          <w:b/>
          <w:bCs/>
          <w:sz w:val="20"/>
          <w:szCs w:val="20"/>
          <w:lang w:eastAsia="zh-CN"/>
        </w:rPr>
        <w:t>Zakup</w:t>
      </w:r>
      <w:r w:rsidR="00FE47F3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cyfrowego zestawu do drenażu</w:t>
      </w:r>
      <w:r w:rsidRPr="0026376C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” </w:t>
      </w:r>
    </w:p>
    <w:tbl>
      <w:tblPr>
        <w:tblW w:w="8259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16"/>
        <w:gridCol w:w="6443"/>
      </w:tblGrid>
      <w:tr w:rsidR="00645F9D" w:rsidRPr="0026376C" w:rsidTr="00645F9D">
        <w:trPr>
          <w:trHeight w:val="40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9D" w:rsidRPr="0026376C" w:rsidRDefault="00645F9D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Nr pakietu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9D" w:rsidRPr="0026376C" w:rsidRDefault="00645F9D" w:rsidP="006A41B5">
            <w:pPr>
              <w:pStyle w:val="Tekstprzypisudolnego"/>
              <w:rPr>
                <w:rFonts w:ascii="Verdana" w:hAnsi="Verdana" w:cs="Times New Roman"/>
              </w:rPr>
            </w:pPr>
            <w:r w:rsidRPr="0026376C">
              <w:rPr>
                <w:rFonts w:ascii="Verdana" w:hAnsi="Verdana" w:cs="Times New Roman"/>
              </w:rPr>
              <w:t>Przedmiot dostawy</w:t>
            </w:r>
          </w:p>
        </w:tc>
      </w:tr>
      <w:tr w:rsidR="00645F9D" w:rsidRPr="0026376C" w:rsidTr="00645F9D">
        <w:trPr>
          <w:trHeight w:val="684"/>
        </w:trPr>
        <w:tc>
          <w:tcPr>
            <w:tcW w:w="1816" w:type="dxa"/>
          </w:tcPr>
          <w:p w:rsidR="00645F9D" w:rsidRDefault="00645F9D">
            <w:r w:rsidRPr="0079090B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="00FE47F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443" w:type="dxa"/>
          </w:tcPr>
          <w:p w:rsidR="00645F9D" w:rsidRPr="003D2732" w:rsidRDefault="00951DD1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Cyfrowy</w:t>
            </w:r>
            <w:r w:rsidR="00923A36">
              <w:rPr>
                <w:rFonts w:ascii="Verdana" w:hAnsi="Verdana" w:cs="Times New Roman"/>
              </w:rPr>
              <w:t xml:space="preserve"> zestaw</w:t>
            </w:r>
            <w:r>
              <w:rPr>
                <w:rFonts w:ascii="Verdana" w:hAnsi="Verdana" w:cs="Times New Roman"/>
              </w:rPr>
              <w:t xml:space="preserve"> do</w:t>
            </w:r>
            <w:r w:rsidR="00923A36">
              <w:rPr>
                <w:rFonts w:ascii="Verdana" w:hAnsi="Verdana" w:cs="Times New Roman"/>
              </w:rPr>
              <w:t xml:space="preserve"> drena</w:t>
            </w:r>
            <w:r>
              <w:rPr>
                <w:rFonts w:ascii="Verdana" w:hAnsi="Verdana" w:cs="Times New Roman"/>
              </w:rPr>
              <w:t>żu</w:t>
            </w:r>
            <w:r w:rsidR="00B06475">
              <w:rPr>
                <w:rFonts w:ascii="Verdana" w:hAnsi="Verdana" w:cs="Times New Roman"/>
              </w:rPr>
              <w:t xml:space="preserve"> 15 szt.</w:t>
            </w:r>
          </w:p>
        </w:tc>
      </w:tr>
    </w:tbl>
    <w:p w:rsidR="0026376C" w:rsidRPr="0026376C" w:rsidRDefault="0026376C" w:rsidP="0026376C">
      <w:pPr>
        <w:widowControl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26376C" w:rsidRPr="00830B5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hAnsi="Verdana"/>
          <w:iCs/>
          <w:sz w:val="20"/>
          <w:szCs w:val="20"/>
        </w:rPr>
      </w:pPr>
      <w:r w:rsidRPr="0026376C">
        <w:rPr>
          <w:rFonts w:ascii="Verdana" w:hAnsi="Verdana"/>
          <w:iCs/>
          <w:sz w:val="20"/>
          <w:szCs w:val="20"/>
        </w:rPr>
        <w:t xml:space="preserve">Zamawiający </w:t>
      </w:r>
      <w:r w:rsidR="003D3454" w:rsidRPr="003D3454">
        <w:rPr>
          <w:rFonts w:ascii="Verdana" w:hAnsi="Verdana"/>
          <w:b/>
          <w:iCs/>
          <w:sz w:val="20"/>
          <w:szCs w:val="20"/>
        </w:rPr>
        <w:t>nie</w:t>
      </w:r>
      <w:r w:rsidR="003D3454">
        <w:rPr>
          <w:rFonts w:ascii="Verdana" w:hAnsi="Verdana"/>
          <w:iCs/>
          <w:sz w:val="20"/>
          <w:szCs w:val="20"/>
        </w:rPr>
        <w:t xml:space="preserve"> </w:t>
      </w:r>
      <w:r w:rsidRPr="0026376C">
        <w:rPr>
          <w:rFonts w:ascii="Verdana" w:hAnsi="Verdana"/>
          <w:b/>
          <w:bCs/>
          <w:iCs/>
          <w:sz w:val="20"/>
          <w:szCs w:val="20"/>
        </w:rPr>
        <w:t>dopuszcza</w:t>
      </w:r>
      <w:r w:rsidRPr="0026376C">
        <w:rPr>
          <w:rFonts w:ascii="Verdana" w:hAnsi="Verdana"/>
          <w:iCs/>
          <w:sz w:val="20"/>
          <w:szCs w:val="20"/>
        </w:rPr>
        <w:t xml:space="preserve"> możliwości składania ofert częściowych. </w:t>
      </w:r>
      <w:r w:rsidR="00830B5C" w:rsidRPr="00830B5C">
        <w:rPr>
          <w:rFonts w:ascii="Verdana" w:hAnsi="Verdana"/>
          <w:iCs/>
          <w:sz w:val="20"/>
          <w:szCs w:val="20"/>
        </w:rPr>
        <w:t>Zamówienie nie jest podzielne –</w:t>
      </w:r>
      <w:r w:rsidR="00C17808">
        <w:rPr>
          <w:rFonts w:ascii="Verdana" w:hAnsi="Verdana"/>
          <w:iCs/>
          <w:sz w:val="20"/>
          <w:szCs w:val="20"/>
        </w:rPr>
        <w:t>zestaw</w:t>
      </w:r>
      <w:r w:rsidR="00830B5C" w:rsidRPr="00830B5C">
        <w:rPr>
          <w:rFonts w:ascii="Verdana" w:hAnsi="Verdana"/>
          <w:iCs/>
          <w:sz w:val="20"/>
          <w:szCs w:val="20"/>
        </w:rPr>
        <w:t xml:space="preserve"> stanowi jedno urządzenie</w:t>
      </w:r>
      <w:r w:rsidR="00830B5C">
        <w:rPr>
          <w:rFonts w:ascii="Verdana" w:hAnsi="Verdana"/>
          <w:iCs/>
          <w:sz w:val="20"/>
          <w:szCs w:val="20"/>
        </w:rPr>
        <w:t>.</w:t>
      </w:r>
    </w:p>
    <w:p w:rsidR="0026376C" w:rsidRPr="0026376C" w:rsidRDefault="0026376C" w:rsidP="0026376C">
      <w:pPr>
        <w:ind w:left="709"/>
        <w:jc w:val="both"/>
        <w:rPr>
          <w:rFonts w:ascii="Verdana" w:hAnsi="Verdana"/>
          <w:iCs/>
          <w:sz w:val="20"/>
          <w:szCs w:val="20"/>
        </w:rPr>
      </w:pPr>
    </w:p>
    <w:p w:rsidR="0026376C" w:rsidRPr="0026376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</w:p>
    <w:p w:rsidR="0026376C" w:rsidRPr="0026376C" w:rsidRDefault="0026376C" w:rsidP="0026376C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</w:p>
    <w:p w:rsidR="0026376C" w:rsidRPr="0026376C" w:rsidRDefault="006C4623" w:rsidP="0026376C">
      <w:pPr>
        <w:tabs>
          <w:tab w:val="left" w:pos="-1573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33169000-2 Przyrządy chirurgiczne</w:t>
      </w:r>
    </w:p>
    <w:p w:rsidR="0026376C" w:rsidRPr="0026376C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26376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</w:t>
      </w:r>
      <w:r w:rsidRPr="0026376C">
        <w:rPr>
          <w:rFonts w:ascii="Verdana" w:hAnsi="Verdana"/>
          <w:sz w:val="20"/>
          <w:szCs w:val="20"/>
        </w:rPr>
        <w:lastRenderedPageBreak/>
        <w:t>dokumentacji, ani do zmiany ceny, ani do naruszenia przepisów prawa.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26376C">
        <w:rPr>
          <w:rFonts w:ascii="Verdana" w:hAnsi="Verdana"/>
          <w:sz w:val="20"/>
          <w:szCs w:val="20"/>
        </w:rPr>
        <w:t>pkt</w:t>
      </w:r>
      <w:proofErr w:type="spellEnd"/>
      <w:r w:rsidRPr="0026376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26376C">
        <w:rPr>
          <w:rFonts w:ascii="Verdana" w:hAnsi="Verdana"/>
          <w:sz w:val="20"/>
          <w:szCs w:val="20"/>
        </w:rPr>
        <w:t>pkt</w:t>
      </w:r>
      <w:proofErr w:type="spellEnd"/>
      <w:r w:rsidRPr="0026376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D43C11" w:rsidRDefault="005942E4" w:rsidP="00D43C11">
      <w:pPr>
        <w:jc w:val="both"/>
        <w:rPr>
          <w:rFonts w:ascii="Verdana" w:hAnsi="Verdana"/>
          <w:sz w:val="20"/>
          <w:szCs w:val="20"/>
        </w:rPr>
      </w:pPr>
    </w:p>
    <w:p w:rsidR="00975AD7" w:rsidRPr="00D43C11" w:rsidRDefault="00975AD7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D43C1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  <w:highlight w:val="yellow"/>
        </w:rPr>
      </w:pP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566E09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173EA4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D43C11" w:rsidRDefault="006F1EE1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D43C11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502346" w:rsidRDefault="00374A0F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highlight w:val="yellow"/>
        </w:rPr>
      </w:pPr>
      <w:r>
        <w:rPr>
          <w:rFonts w:ascii="Verdana" w:hAnsi="Verdana"/>
          <w:b/>
          <w:sz w:val="20"/>
          <w:szCs w:val="20"/>
          <w:highlight w:val="yellow"/>
        </w:rPr>
        <w:t>Pakiety nr 1</w:t>
      </w:r>
      <w:r w:rsidR="008B7023">
        <w:rPr>
          <w:rFonts w:ascii="Verdana" w:hAnsi="Verdana"/>
          <w:b/>
          <w:sz w:val="20"/>
          <w:szCs w:val="20"/>
          <w:highlight w:val="yellow"/>
        </w:rPr>
        <w:t xml:space="preserve"> – najpóźniej 49</w:t>
      </w:r>
      <w:r w:rsidR="00502346">
        <w:rPr>
          <w:rFonts w:ascii="Verdana" w:hAnsi="Verdana"/>
          <w:b/>
          <w:sz w:val="20"/>
          <w:szCs w:val="20"/>
          <w:highlight w:val="yellow"/>
        </w:rPr>
        <w:t xml:space="preserve"> dni od dnia podpisania umowy </w:t>
      </w:r>
    </w:p>
    <w:p w:rsidR="00975AD7" w:rsidRPr="00D43C11" w:rsidRDefault="00782102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D43C1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D43C1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I.</w:t>
      </w:r>
      <w:r w:rsidRPr="00D43C1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lastRenderedPageBreak/>
        <w:t>1)</w:t>
      </w:r>
      <w:r w:rsidRPr="00D43C1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a)</w:t>
      </w:r>
      <w:r w:rsidRPr="00D43C11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b)</w:t>
      </w:r>
      <w:r w:rsidRPr="00D43C1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c)</w:t>
      </w:r>
      <w:r w:rsidRPr="00D43C11">
        <w:rPr>
          <w:rFonts w:ascii="Verdana" w:hAnsi="Verdana"/>
          <w:sz w:val="20"/>
          <w:szCs w:val="20"/>
        </w:rPr>
        <w:tab/>
      </w:r>
      <w:r w:rsidR="009704BE" w:rsidRPr="00D43C11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D43C11">
        <w:rPr>
          <w:rFonts w:ascii="Verdana" w:hAnsi="Verdana"/>
          <w:sz w:val="20"/>
          <w:szCs w:val="20"/>
        </w:rPr>
        <w:t>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d)</w:t>
      </w:r>
      <w:r w:rsidRPr="00D43C11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e)</w:t>
      </w:r>
      <w:r w:rsidRPr="00D43C1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f)</w:t>
      </w:r>
      <w:r w:rsidRPr="00D43C11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g)</w:t>
      </w:r>
      <w:r w:rsidRPr="00D43C1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h)</w:t>
      </w:r>
      <w:r w:rsidRPr="00D43C11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D43C11">
        <w:rPr>
          <w:rFonts w:ascii="Verdana" w:hAnsi="Verdana"/>
          <w:sz w:val="20"/>
          <w:szCs w:val="20"/>
        </w:rPr>
        <w:t>komplementariusza</w:t>
      </w:r>
      <w:proofErr w:type="spellEnd"/>
      <w:r w:rsidRPr="00D43C11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1;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4)</w:t>
      </w:r>
      <w:r w:rsidRPr="00D43C1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5)</w:t>
      </w:r>
      <w:r w:rsidRPr="00D43C11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6)</w:t>
      </w:r>
      <w:r w:rsidRPr="00D43C1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II.</w:t>
      </w:r>
      <w:r w:rsidRPr="00D43C11">
        <w:rPr>
          <w:rFonts w:ascii="Verdana" w:hAnsi="Verdana"/>
          <w:sz w:val="20"/>
          <w:szCs w:val="20"/>
        </w:rPr>
        <w:tab/>
        <w:t xml:space="preserve">Na podstawie art. 7 ust. 1 ustawy z 13.04.2022 r. o szczególnych rozwiązaniach w zakresie przeciwdziałania wspieraniu agresji na Ukrainę oraz służących </w:t>
      </w:r>
      <w:r w:rsidRPr="00D43C11">
        <w:rPr>
          <w:rFonts w:ascii="Verdana" w:hAnsi="Verdana"/>
          <w:sz w:val="20"/>
          <w:szCs w:val="20"/>
        </w:rPr>
        <w:lastRenderedPageBreak/>
        <w:t>ochronie bezpieczeństwa narodowego („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”):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;</w:t>
      </w:r>
    </w:p>
    <w:p w:rsidR="00563D0A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85516C" w:rsidRPr="00D43C11" w:rsidRDefault="0085516C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3"/>
      <w:r w:rsidRPr="00D43C1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43C1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D43C11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777B51" w:rsidRPr="00D43C11" w:rsidRDefault="00777B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CA15CA" w:rsidRPr="00D43C11" w:rsidRDefault="00A92A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D43C11">
        <w:rPr>
          <w:rFonts w:ascii="Verdana" w:hAnsi="Verdana"/>
          <w:b/>
          <w:sz w:val="20"/>
          <w:szCs w:val="20"/>
          <w:shd w:val="clear" w:color="auto" w:fill="FFFFFF"/>
        </w:rPr>
        <w:t>Nie dotyczy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4"/>
      <w:r w:rsidRPr="00D43C1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C142A5" w:rsidRDefault="00566E09" w:rsidP="00D92A6A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C142A5">
        <w:rPr>
          <w:rFonts w:ascii="Verdana" w:hAnsi="Verdana"/>
          <w:b/>
          <w:sz w:val="20"/>
          <w:szCs w:val="20"/>
        </w:rPr>
        <w:t>Nie dotyczy</w:t>
      </w:r>
      <w:r w:rsidR="005E1257" w:rsidRPr="00C142A5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7D49B2" w:rsidRDefault="007D49B2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659C6" w:rsidRPr="00D43C11" w:rsidRDefault="00B659C6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D43C1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1B132F" w:rsidRPr="00566E09" w:rsidRDefault="00566E09" w:rsidP="00566E09">
      <w:pPr>
        <w:pStyle w:val="Akapitzlist"/>
        <w:tabs>
          <w:tab w:val="left" w:pos="426"/>
        </w:tabs>
        <w:ind w:left="0"/>
        <w:rPr>
          <w:rFonts w:ascii="Verdana" w:hAnsi="Verdana" w:cs="Arial"/>
          <w:b/>
          <w:sz w:val="20"/>
          <w:szCs w:val="20"/>
          <w:u w:val="single"/>
        </w:rPr>
      </w:pPr>
      <w:bookmarkStart w:id="10" w:name="_Toc64559026"/>
      <w:r w:rsidRPr="00566E09">
        <w:rPr>
          <w:rFonts w:ascii="Verdana" w:hAnsi="Verdana"/>
          <w:sz w:val="20"/>
          <w:szCs w:val="20"/>
        </w:rPr>
        <w:t>Nie dotyczy</w:t>
      </w:r>
      <w:r w:rsidRPr="00566E09">
        <w:rPr>
          <w:rFonts w:ascii="Verdana" w:hAnsi="Verdana" w:cs="Arial"/>
          <w:b/>
          <w:sz w:val="20"/>
          <w:szCs w:val="20"/>
        </w:rPr>
        <w:t xml:space="preserve"> </w:t>
      </w: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B97FAE" w:rsidRPr="00D43C11" w:rsidRDefault="00B97FAE" w:rsidP="00C375FD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órych </w:t>
      </w:r>
      <w:r w:rsidRPr="00D43C1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D43C11">
        <w:rPr>
          <w:rFonts w:ascii="Verdana" w:hAnsi="Verdana"/>
          <w:spacing w:val="5"/>
          <w:sz w:val="20"/>
          <w:szCs w:val="20"/>
        </w:rPr>
        <w:br/>
      </w:r>
      <w:r w:rsidRPr="00D43C1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D43C1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D43C11" w:rsidRDefault="003067E1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D43C11" w:rsidRDefault="00351A79" w:rsidP="00C375F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D43C1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D43C11">
        <w:rPr>
          <w:rFonts w:ascii="Verdana" w:eastAsia="Times New Roman" w:hAnsi="Verdana"/>
          <w:sz w:val="20"/>
          <w:szCs w:val="20"/>
        </w:rPr>
        <w:t>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D43C11">
        <w:rPr>
          <w:rFonts w:ascii="Verdana" w:eastAsia="Times New Roman" w:hAnsi="Verdana"/>
          <w:sz w:val="20"/>
          <w:szCs w:val="20"/>
        </w:rPr>
        <w:t>7</w:t>
      </w:r>
      <w:r w:rsidRPr="00D43C11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43C1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D43C1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D43C11" w:rsidRDefault="00351A79" w:rsidP="00C375FD">
      <w:pPr>
        <w:pStyle w:val="Akapitzlist"/>
        <w:numPr>
          <w:ilvl w:val="0"/>
          <w:numId w:val="18"/>
        </w:numPr>
        <w:ind w:left="0" w:firstLine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  <w:u w:val="single"/>
        </w:rPr>
        <w:t>Wykonawca chcąc złożyć ofertę</w:t>
      </w:r>
      <w:r w:rsidRPr="00D43C11">
        <w:rPr>
          <w:rFonts w:ascii="Verdana" w:hAnsi="Verdana"/>
          <w:sz w:val="20"/>
          <w:szCs w:val="20"/>
        </w:rPr>
        <w:t xml:space="preserve"> za pomocą SKE przygotowuje paczkę </w:t>
      </w:r>
      <w:r w:rsidRPr="00D43C11">
        <w:rPr>
          <w:rFonts w:ascii="Verdana" w:hAnsi="Verdana"/>
          <w:sz w:val="20"/>
          <w:szCs w:val="20"/>
        </w:rPr>
        <w:lastRenderedPageBreak/>
        <w:t>dokumentów, która zawiera dokumenty wymagane przez SWZ. Przygotowaną paczkę dokumentów – ofertę zapisuje w postaci pliku skompensowanego (np.: zip) a następnie szyfruje programami zewnętrznymi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D43C11">
        <w:rPr>
          <w:rFonts w:ascii="Verdana" w:hAnsi="Verdana"/>
          <w:sz w:val="20"/>
          <w:szCs w:val="20"/>
        </w:rPr>
        <w:t>Suite</w:t>
      </w:r>
      <w:proofErr w:type="spellEnd"/>
      <w:r w:rsidRPr="00D43C11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D43C11" w:rsidRDefault="000B3502" w:rsidP="00D43C11">
      <w:pPr>
        <w:rPr>
          <w:rFonts w:ascii="Verdana" w:hAnsi="Verdana"/>
          <w:sz w:val="20"/>
          <w:szCs w:val="20"/>
        </w:rPr>
      </w:pPr>
      <w:hyperlink r:id="rId9" w:history="1">
        <w:r w:rsidR="00351A79" w:rsidRPr="00D43C1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D43C11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D43C11">
        <w:rPr>
          <w:rFonts w:ascii="Verdana" w:hAnsi="Verdana"/>
          <w:sz w:val="20"/>
          <w:szCs w:val="20"/>
        </w:rPr>
        <w:t>MacOS</w:t>
      </w:r>
      <w:proofErr w:type="spellEnd"/>
      <w:r w:rsidR="00351A79" w:rsidRPr="00D43C11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D43C11" w:rsidRDefault="00351A79" w:rsidP="00C375FD">
      <w:pPr>
        <w:widowControl/>
        <w:numPr>
          <w:ilvl w:val="0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43C11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D43C1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43C1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D43C1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D43C11" w:rsidRDefault="004B477D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Zamawiający </w:t>
      </w:r>
      <w:r w:rsidRPr="00D43C11">
        <w:rPr>
          <w:rFonts w:ascii="Verdana" w:hAnsi="Verdana"/>
          <w:b/>
          <w:sz w:val="20"/>
          <w:szCs w:val="20"/>
        </w:rPr>
        <w:t>nie przewiduje</w:t>
      </w:r>
      <w:r w:rsidRPr="00D43C1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D43C11">
        <w:rPr>
          <w:rFonts w:ascii="Verdana" w:hAnsi="Verdana"/>
          <w:sz w:val="20"/>
          <w:szCs w:val="20"/>
        </w:rPr>
        <w:t>X</w:t>
      </w:r>
      <w:r w:rsidRPr="00D43C11">
        <w:rPr>
          <w:rFonts w:ascii="Verdana" w:hAnsi="Verdana"/>
          <w:sz w:val="20"/>
          <w:szCs w:val="20"/>
        </w:rPr>
        <w:t xml:space="preserve"> S</w:t>
      </w:r>
      <w:r w:rsidR="00AB7E54" w:rsidRPr="00D43C11">
        <w:rPr>
          <w:rFonts w:ascii="Verdana" w:hAnsi="Verdana"/>
          <w:sz w:val="20"/>
          <w:szCs w:val="20"/>
        </w:rPr>
        <w:t>WZ</w:t>
      </w:r>
    </w:p>
    <w:p w:rsidR="0099338A" w:rsidRPr="00D43C11" w:rsidRDefault="0099338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D43C1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w sprawach form</w:t>
      </w:r>
      <w:r w:rsidR="008E66FC" w:rsidRPr="00D43C11">
        <w:rPr>
          <w:rFonts w:ascii="Verdana" w:hAnsi="Verdana"/>
          <w:sz w:val="20"/>
          <w:szCs w:val="20"/>
        </w:rPr>
        <w:t xml:space="preserve">alnych – </w:t>
      </w:r>
      <w:r w:rsidR="00673DAE">
        <w:rPr>
          <w:rFonts w:ascii="Verdana" w:hAnsi="Verdana"/>
          <w:sz w:val="20"/>
          <w:szCs w:val="20"/>
        </w:rPr>
        <w:t>Marzena Michalak</w:t>
      </w:r>
      <w:r w:rsidR="00D33D66" w:rsidRPr="00D43C11">
        <w:rPr>
          <w:rFonts w:ascii="Verdana" w:hAnsi="Verdana"/>
          <w:sz w:val="20"/>
          <w:szCs w:val="20"/>
        </w:rPr>
        <w:t xml:space="preserve"> Tel:</w:t>
      </w:r>
      <w:r w:rsidR="00595756" w:rsidRPr="00D43C11">
        <w:rPr>
          <w:rFonts w:ascii="Verdana" w:hAnsi="Verdana"/>
          <w:sz w:val="20"/>
          <w:szCs w:val="20"/>
        </w:rPr>
        <w:t xml:space="preserve"> 61 66</w:t>
      </w:r>
      <w:r w:rsidR="00173EA4">
        <w:rPr>
          <w:rFonts w:ascii="Verdana" w:hAnsi="Verdana"/>
          <w:sz w:val="20"/>
          <w:szCs w:val="20"/>
        </w:rPr>
        <w:t> </w:t>
      </w:r>
      <w:r w:rsidR="00673DAE">
        <w:rPr>
          <w:rFonts w:ascii="Verdana" w:hAnsi="Verdana"/>
          <w:sz w:val="20"/>
          <w:szCs w:val="20"/>
        </w:rPr>
        <w:t>255</w:t>
      </w:r>
    </w:p>
    <w:p w:rsidR="00173EA4" w:rsidRPr="00D43C11" w:rsidRDefault="00173EA4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D43C1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33D66" w:rsidRPr="008705DD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705DD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8705DD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A400A8">
        <w:rPr>
          <w:rFonts w:ascii="Verdana" w:hAnsi="Verdana" w:cs="Arial"/>
          <w:b/>
          <w:sz w:val="20"/>
          <w:szCs w:val="20"/>
          <w:highlight w:val="yellow"/>
        </w:rPr>
        <w:t>06.10.</w:t>
      </w:r>
      <w:r w:rsidR="00353D55">
        <w:rPr>
          <w:rFonts w:ascii="Verdana" w:hAnsi="Verdana" w:cs="Arial"/>
          <w:b/>
          <w:sz w:val="20"/>
          <w:szCs w:val="20"/>
          <w:highlight w:val="yellow"/>
        </w:rPr>
        <w:t>2</w:t>
      </w:r>
      <w:r w:rsidR="008705DD" w:rsidRPr="008705DD">
        <w:rPr>
          <w:rFonts w:ascii="Verdana" w:hAnsi="Verdana"/>
          <w:b/>
          <w:bCs/>
          <w:sz w:val="20"/>
          <w:szCs w:val="20"/>
          <w:highlight w:val="yellow"/>
        </w:rPr>
        <w:t xml:space="preserve">023 </w:t>
      </w:r>
      <w:r w:rsidR="00651AA9" w:rsidRPr="008705DD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D43C11" w:rsidRDefault="00AC6791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D43C1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D43C11" w:rsidRDefault="001A3D96" w:rsidP="00D43C11">
      <w:pPr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D43C11">
      <w:pPr>
        <w:tabs>
          <w:tab w:val="left" w:pos="-4536"/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C375FD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D43C1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8162B" w:rsidRPr="00D43C11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8162B" w:rsidRPr="00B953E2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>
        <w:rPr>
          <w:rFonts w:ascii="Verdana" w:eastAsia="Calibri" w:hAnsi="Verdana"/>
          <w:b/>
          <w:bCs/>
          <w:sz w:val="20"/>
          <w:szCs w:val="20"/>
          <w:lang w:eastAsia="ar-SA"/>
        </w:rPr>
        <w:t>- załącznik nr 3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B953E2" w:rsidRDefault="00B953E2" w:rsidP="00B953E2">
      <w:pPr>
        <w:pStyle w:val="Akapitzlist"/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DF4A98" w:rsidRDefault="00B953E2" w:rsidP="00C375FD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F4A9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B953E2" w:rsidRPr="00B953E2" w:rsidRDefault="00B953E2" w:rsidP="00B953E2">
      <w:pPr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C376BE" w:rsidRDefault="00B953E2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76BE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DF4A98" w:rsidRPr="00DF4A98" w:rsidRDefault="00DF4A98" w:rsidP="00DF4A98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D43C11" w:rsidRDefault="0088162B" w:rsidP="00C375FD">
      <w:pPr>
        <w:numPr>
          <w:ilvl w:val="1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b/>
          <w:color w:val="auto"/>
          <w:sz w:val="20"/>
          <w:szCs w:val="20"/>
        </w:rPr>
        <w:t>Dodatkow</w:t>
      </w:r>
      <w:r w:rsidRPr="00D43C11">
        <w:rPr>
          <w:rFonts w:ascii="Verdana" w:hAnsi="Verdana"/>
          <w:color w:val="auto"/>
          <w:sz w:val="20"/>
          <w:szCs w:val="20"/>
        </w:rPr>
        <w:t>o:</w:t>
      </w:r>
    </w:p>
    <w:p w:rsidR="0088162B" w:rsidRPr="00D43C11" w:rsidRDefault="0088162B" w:rsidP="00D43C11">
      <w:pPr>
        <w:tabs>
          <w:tab w:val="left" w:pos="-4536"/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</w:t>
      </w:r>
      <w:r w:rsidRPr="00D43C11">
        <w:rPr>
          <w:rFonts w:ascii="Verdana" w:hAnsi="Verdana"/>
          <w:color w:val="auto"/>
          <w:sz w:val="20"/>
          <w:szCs w:val="20"/>
        </w:rPr>
        <w:lastRenderedPageBreak/>
        <w:t>danych, o ile wykonawca wskazał dane umożliwiające dostęp do tych dokumentów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43C11" w:rsidRDefault="00857D43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D43C11">
        <w:rPr>
          <w:rFonts w:ascii="Verdana" w:hAnsi="Verdana"/>
          <w:spacing w:val="5"/>
          <w:sz w:val="20"/>
          <w:szCs w:val="20"/>
        </w:rPr>
        <w:t>T</w:t>
      </w:r>
      <w:r w:rsidR="002A0871" w:rsidRPr="00D43C1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33D66" w:rsidRPr="00D43C11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D43C11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A400A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07.09.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D43C11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D43C1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8705DD" w:rsidRDefault="00483E0E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8705DD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A400A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07.09.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8705DD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43C11" w:rsidRDefault="00857D43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Otwarcie ofert nastąpi za pośrednictwem</w:t>
      </w:r>
      <w:r w:rsidR="00E15C53" w:rsidRPr="00D43C1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D43C11">
        <w:rPr>
          <w:rFonts w:ascii="Verdana" w:hAnsi="Verdana"/>
          <w:b/>
          <w:sz w:val="20"/>
          <w:szCs w:val="20"/>
        </w:rPr>
        <w:t>Kleopatra</w:t>
      </w:r>
      <w:r w:rsidR="00E15C53" w:rsidRPr="00D43C11">
        <w:rPr>
          <w:rFonts w:ascii="Verdana" w:hAnsi="Verdana" w:cstheme="minorHAnsi"/>
          <w:sz w:val="20"/>
          <w:szCs w:val="20"/>
        </w:rPr>
        <w:t>)</w:t>
      </w:r>
      <w:r w:rsidRPr="00D43C11">
        <w:rPr>
          <w:rFonts w:ascii="Verdana" w:hAnsi="Verdana"/>
          <w:sz w:val="20"/>
          <w:szCs w:val="20"/>
        </w:rPr>
        <w:t>,</w:t>
      </w:r>
      <w:r w:rsidR="00E15C53" w:rsidRPr="00D43C1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D43C1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D43C1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D43C11">
        <w:rPr>
          <w:rFonts w:ascii="Verdana" w:hAnsi="Verdana"/>
          <w:sz w:val="20"/>
          <w:szCs w:val="20"/>
        </w:rPr>
        <w:t>.</w:t>
      </w:r>
    </w:p>
    <w:p w:rsidR="003A5FCC" w:rsidRPr="00D43C11" w:rsidRDefault="003A5FCC" w:rsidP="00D43C11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D43C1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D43C11" w:rsidRDefault="00907C2C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oferty musi zostać obliczona zgodnie z</w:t>
      </w:r>
      <w:r w:rsidRPr="00D43C11">
        <w:rPr>
          <w:rFonts w:ascii="Verdana" w:hAnsi="Verdana"/>
          <w:b/>
          <w:sz w:val="20"/>
          <w:szCs w:val="20"/>
        </w:rPr>
        <w:t xml:space="preserve"> formularzem ofertowym (załącznik nr 2)</w:t>
      </w:r>
      <w:r w:rsidR="00A61DEE" w:rsidRPr="00D43C11">
        <w:rPr>
          <w:rFonts w:ascii="Verdana" w:hAnsi="Verdana"/>
          <w:b/>
          <w:sz w:val="20"/>
          <w:szCs w:val="20"/>
        </w:rPr>
        <w:t>.</w:t>
      </w:r>
    </w:p>
    <w:p w:rsidR="00443784" w:rsidRPr="00D43C11" w:rsidRDefault="00111C26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ofertowa</w:t>
      </w:r>
      <w:r w:rsidR="001569BA" w:rsidRPr="00D43C11">
        <w:rPr>
          <w:rFonts w:ascii="Verdana" w:hAnsi="Verdana"/>
          <w:sz w:val="20"/>
          <w:szCs w:val="20"/>
        </w:rPr>
        <w:t xml:space="preserve"> </w:t>
      </w:r>
      <w:r w:rsidR="005A3589" w:rsidRPr="00D43C11">
        <w:rPr>
          <w:rFonts w:ascii="Verdana" w:hAnsi="Verdana"/>
          <w:sz w:val="20"/>
          <w:szCs w:val="20"/>
        </w:rPr>
        <w:t xml:space="preserve">musi </w:t>
      </w:r>
      <w:r w:rsidRPr="00D43C11">
        <w:rPr>
          <w:rFonts w:ascii="Verdana" w:hAnsi="Verdana"/>
          <w:sz w:val="20"/>
          <w:szCs w:val="20"/>
        </w:rPr>
        <w:t>być wyrażon</w:t>
      </w:r>
      <w:r w:rsidR="005A3589" w:rsidRPr="00D43C11">
        <w:rPr>
          <w:rFonts w:ascii="Verdana" w:hAnsi="Verdana"/>
          <w:sz w:val="20"/>
          <w:szCs w:val="20"/>
        </w:rPr>
        <w:t>a</w:t>
      </w:r>
      <w:r w:rsidRPr="00D43C1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D43C11" w:rsidRDefault="00F21384" w:rsidP="00D43C11">
      <w:pPr>
        <w:pStyle w:val="Akapitzlist"/>
        <w:ind w:left="0"/>
        <w:jc w:val="both"/>
        <w:rPr>
          <w:rFonts w:ascii="Verdana" w:hAnsi="Verdana"/>
          <w:bCs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D43C1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2A529F" w:rsidRDefault="002A529F" w:rsidP="002A529F">
      <w:pPr>
        <w:pStyle w:val="Tekstpodstawowy21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wybierze ofert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najkorzystniejsz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 podstawie nast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cego kryterium: najni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sza cena.</w:t>
      </w:r>
    </w:p>
    <w:p w:rsidR="00673EF1" w:rsidRDefault="002A529F" w:rsidP="002A529F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Oferty zostan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ocenione zgodnie z cen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od najni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 do najwy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szej, przy czym najkorzystniejsza b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oferta z najni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.</w:t>
      </w:r>
    </w:p>
    <w:p w:rsidR="002A529F" w:rsidRPr="00D43C11" w:rsidRDefault="002A529F" w:rsidP="002A529F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D43C1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D43C1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D43C1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lastRenderedPageBreak/>
        <w:t xml:space="preserve">Wykonawca, o którym mowa w ust. 1, ma obowiązek zawrzeć umowę w sprawie zamówienia na warunkach określonych w projektowanych postanowieniach umowy. </w:t>
      </w:r>
    </w:p>
    <w:p w:rsidR="00A61DEE" w:rsidRPr="00D43C11" w:rsidRDefault="00CA15CA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20" w:name="OLE_LINK1"/>
      <w:bookmarkStart w:id="21" w:name="OLE_LINK2"/>
      <w:r w:rsidRPr="00D43C1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D43C11" w:rsidRDefault="00CA15CA" w:rsidP="00C375FD">
      <w:pPr>
        <w:pStyle w:val="Akapitzlist"/>
        <w:numPr>
          <w:ilvl w:val="0"/>
          <w:numId w:val="21"/>
        </w:numPr>
        <w:tabs>
          <w:tab w:val="left" w:pos="851"/>
        </w:tabs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D43C11">
        <w:rPr>
          <w:rFonts w:ascii="Verdana" w:hAnsi="Verdana"/>
          <w:color w:val="auto"/>
          <w:sz w:val="20"/>
          <w:szCs w:val="20"/>
        </w:rPr>
        <w:t>.</w:t>
      </w:r>
    </w:p>
    <w:bookmarkEnd w:id="20"/>
    <w:bookmarkEnd w:id="21"/>
    <w:p w:rsidR="00CA15CA" w:rsidRPr="00D43C11" w:rsidRDefault="00CA15CA" w:rsidP="00D43C11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D43C11" w:rsidRDefault="00632D22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D43C1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D43C11" w:rsidRDefault="00B97FAE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43C11">
        <w:rPr>
          <w:rFonts w:ascii="Verdana" w:hAnsi="Verdana"/>
          <w:color w:val="auto"/>
          <w:sz w:val="20"/>
          <w:szCs w:val="20"/>
        </w:rPr>
        <w:t>w</w:t>
      </w:r>
      <w:r w:rsidR="00733F7F" w:rsidRPr="00D43C11">
        <w:rPr>
          <w:rFonts w:ascii="Verdana" w:hAnsi="Verdana"/>
          <w:color w:val="auto"/>
          <w:sz w:val="20"/>
          <w:szCs w:val="20"/>
        </w:rPr>
        <w:t xml:space="preserve"> </w:t>
      </w:r>
      <w:r w:rsidRPr="00D43C1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43C11">
        <w:rPr>
          <w:rFonts w:ascii="Verdana" w:hAnsi="Verdana"/>
          <w:b/>
          <w:color w:val="auto"/>
          <w:sz w:val="20"/>
          <w:szCs w:val="20"/>
        </w:rPr>
        <w:t>u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D43C11">
        <w:rPr>
          <w:rFonts w:ascii="Verdana" w:hAnsi="Verdana"/>
          <w:b/>
          <w:color w:val="auto"/>
          <w:sz w:val="20"/>
          <w:szCs w:val="20"/>
        </w:rPr>
        <w:t>4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D43C11">
        <w:rPr>
          <w:rFonts w:ascii="Verdana" w:hAnsi="Verdana"/>
          <w:color w:val="auto"/>
          <w:sz w:val="20"/>
          <w:szCs w:val="20"/>
        </w:rPr>
        <w:t>.</w:t>
      </w:r>
    </w:p>
    <w:p w:rsidR="00B97FAE" w:rsidRPr="00D43C11" w:rsidRDefault="00B97FAE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D43C1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przysługuje na: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D43C11">
        <w:rPr>
          <w:rFonts w:ascii="Verdana" w:hAnsi="Verdana"/>
          <w:sz w:val="20"/>
          <w:szCs w:val="20"/>
        </w:rPr>
        <w:t>Odwołanie wnosi się w terminie: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lastRenderedPageBreak/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1)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D43C11" w:rsidRDefault="00D710D4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D43C1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D43C11">
        <w:rPr>
          <w:rFonts w:ascii="Verdana" w:hAnsi="Verdana"/>
          <w:spacing w:val="5"/>
          <w:sz w:val="20"/>
          <w:szCs w:val="20"/>
        </w:rPr>
        <w:t>a</w:t>
      </w:r>
    </w:p>
    <w:p w:rsidR="00024D24" w:rsidRPr="00D43C11" w:rsidRDefault="00024D24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07520C" w:rsidRPr="00D43C11" w:rsidRDefault="0007520C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D43C11" w:rsidRDefault="00F25E26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D43C11">
        <w:rPr>
          <w:rFonts w:ascii="Verdana" w:hAnsi="Verdana"/>
          <w:spacing w:val="5"/>
          <w:sz w:val="20"/>
          <w:szCs w:val="20"/>
        </w:rPr>
        <w:t>I</w:t>
      </w:r>
      <w:r w:rsidR="0007520C" w:rsidRPr="00D43C1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D43C11" w:rsidRDefault="00A04F8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373B16" w:rsidRPr="00D43C11" w:rsidRDefault="00373B16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D43C11" w:rsidRDefault="00D730D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D43C11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D43C11" w:rsidRDefault="00D730D5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D43C11" w:rsidRDefault="001608DE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Powierzenie wykonania części zamówienia podwykonawcom nie zwalnia wykonawcy z odpowiedzialności za należyte wykonanie tego zamówienia</w:t>
      </w:r>
      <w:r w:rsidR="00DD038E" w:rsidRPr="00D43C11">
        <w:rPr>
          <w:rFonts w:ascii="Verdana" w:hAnsi="Verdana"/>
          <w:sz w:val="20"/>
          <w:szCs w:val="20"/>
        </w:rPr>
        <w:t>.</w:t>
      </w:r>
    </w:p>
    <w:p w:rsidR="00D730D5" w:rsidRPr="00D43C11" w:rsidRDefault="00D730D5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D43C11" w:rsidRDefault="00CF74A9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8C5084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  <w:r w:rsidRPr="008D1009">
        <w:rPr>
          <w:rFonts w:ascii="Verdana" w:eastAsia="Calibri" w:hAnsi="Verdana" w:cs="Calibri"/>
          <w:color w:val="auto"/>
          <w:sz w:val="20"/>
          <w:szCs w:val="20"/>
          <w:lang w:eastAsia="zh-CN"/>
        </w:rPr>
        <w:t>Nie dotyczy</w:t>
      </w:r>
    </w:p>
    <w:p w:rsidR="008D1009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</w:p>
    <w:p w:rsidR="008D1009" w:rsidRPr="00D43C11" w:rsidRDefault="008D1009" w:rsidP="008C5084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D43C11" w:rsidRDefault="008E0D6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D43C11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8162B" w:rsidRPr="00D43C11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TAJEMNICA PRZEDSIĘBIORSTWA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D43C11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D43C1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A6D43" w:rsidRDefault="0088162B" w:rsidP="00D43C11">
      <w:pPr>
        <w:rPr>
          <w:rFonts w:ascii="Verdana" w:hAnsi="Verdana"/>
          <w:b/>
          <w:sz w:val="20"/>
          <w:szCs w:val="20"/>
          <w:u w:val="single"/>
        </w:rPr>
      </w:pPr>
      <w:r w:rsidRPr="007A6D43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1 – opis przedmiotu zamówienia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88162B" w:rsidRPr="007D49B2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3</w:t>
      </w:r>
      <w:r w:rsidR="0088162B" w:rsidRPr="007D49B2">
        <w:rPr>
          <w:rFonts w:ascii="Verdana" w:hAnsi="Verdana" w:cs="Arial"/>
          <w:bCs/>
          <w:sz w:val="20"/>
          <w:szCs w:val="20"/>
        </w:rPr>
        <w:t xml:space="preserve"> - oświadczenia wykonawcy o braku podstaw wykluczenia (wzór); 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5</w:t>
      </w:r>
      <w:r w:rsidRPr="00803FC6">
        <w:rPr>
          <w:rFonts w:ascii="Verdana" w:hAnsi="Verdana" w:cs="Arial"/>
          <w:bCs/>
          <w:sz w:val="20"/>
          <w:szCs w:val="20"/>
        </w:rPr>
        <w:t xml:space="preserve"> -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 do zastosowania przez zamawiaj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cego w post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powaniu o udzielenie zam</w:t>
      </w:r>
      <w:r w:rsidRPr="00803FC6">
        <w:rPr>
          <w:rFonts w:ascii="Verdana" w:hAnsi="Verdana" w:cs="Arial" w:hint="cs"/>
          <w:bCs/>
          <w:sz w:val="20"/>
          <w:szCs w:val="20"/>
        </w:rPr>
        <w:t>ó</w:t>
      </w:r>
      <w:r w:rsidRPr="00803FC6">
        <w:rPr>
          <w:rFonts w:ascii="Verdana" w:hAnsi="Verdana" w:cs="Arial"/>
          <w:bCs/>
          <w:sz w:val="20"/>
          <w:szCs w:val="20"/>
        </w:rPr>
        <w:t>wienia publicznego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lastRenderedPageBreak/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6</w:t>
      </w:r>
      <w:r w:rsidRPr="00803FC6">
        <w:rPr>
          <w:rFonts w:ascii="Verdana" w:hAnsi="Verdana" w:cs="Arial"/>
          <w:bCs/>
          <w:sz w:val="20"/>
          <w:szCs w:val="20"/>
        </w:rPr>
        <w:t xml:space="preserve"> </w:t>
      </w:r>
      <w:r w:rsidRPr="00803FC6">
        <w:rPr>
          <w:rFonts w:ascii="Verdana" w:hAnsi="Verdana" w:cs="Arial" w:hint="cs"/>
          <w:bCs/>
          <w:sz w:val="20"/>
          <w:szCs w:val="20"/>
        </w:rPr>
        <w:t>–</w:t>
      </w:r>
      <w:r w:rsidRPr="00803FC6">
        <w:rPr>
          <w:rFonts w:ascii="Verdana" w:hAnsi="Verdana" w:cs="Arial"/>
          <w:bCs/>
          <w:sz w:val="20"/>
          <w:szCs w:val="20"/>
        </w:rPr>
        <w:t xml:space="preserve">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informacyjnego: osoba b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d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stron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 xml:space="preserve"> Umowy i/lub realizuj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umow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</w:p>
    <w:p w:rsidR="0088162B" w:rsidRPr="00D16FF0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D16FF0" w:rsidRDefault="00D16FF0" w:rsidP="00D16FF0">
      <w:pPr>
        <w:widowControl/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D16FF0" w:rsidRDefault="00D16FF0" w:rsidP="00D16FF0">
      <w:pPr>
        <w:widowControl/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D16FF0" w:rsidRPr="00D16FF0" w:rsidRDefault="00D16FF0" w:rsidP="00D16FF0">
      <w:pPr>
        <w:widowControl/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D43C11">
        <w:rPr>
          <w:rFonts w:ascii="Verdana" w:hAnsi="Verdana" w:cs="Courier New"/>
          <w:sz w:val="20"/>
          <w:szCs w:val="20"/>
        </w:rPr>
        <w:t>Podpis, data</w:t>
      </w:r>
    </w:p>
    <w:p w:rsidR="0088162B" w:rsidRPr="00D43C11" w:rsidRDefault="00100D01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30.08.</w:t>
      </w:r>
      <w:r w:rsidR="00D42CE0">
        <w:rPr>
          <w:rFonts w:ascii="Verdana" w:hAnsi="Verdana" w:cs="Courier New"/>
          <w:sz w:val="20"/>
          <w:szCs w:val="20"/>
        </w:rPr>
        <w:t>2023</w:t>
      </w:r>
      <w:r w:rsidR="0088162B" w:rsidRPr="00D43C11">
        <w:rPr>
          <w:rFonts w:ascii="Verdana" w:hAnsi="Verdana" w:cs="Courier New"/>
          <w:sz w:val="20"/>
          <w:szCs w:val="20"/>
        </w:rPr>
        <w:t xml:space="preserve"> r.</w:t>
      </w:r>
    </w:p>
    <w:sectPr w:rsidR="0088162B" w:rsidRPr="00D43C11" w:rsidSect="00191A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34" w:rsidRDefault="00226534">
      <w:r>
        <w:separator/>
      </w:r>
    </w:p>
    <w:p w:rsidR="00226534" w:rsidRDefault="00226534"/>
  </w:endnote>
  <w:endnote w:type="continuationSeparator" w:id="0">
    <w:p w:rsidR="00226534" w:rsidRDefault="00226534">
      <w:r>
        <w:continuationSeparator/>
      </w:r>
    </w:p>
    <w:p w:rsidR="00226534" w:rsidRDefault="0022653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Default="000B350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0C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0C06" w:rsidRDefault="00DE0C06" w:rsidP="00487F43">
    <w:pPr>
      <w:pStyle w:val="Stopka"/>
      <w:ind w:right="360"/>
    </w:pPr>
  </w:p>
  <w:p w:rsidR="00DE0C06" w:rsidRDefault="00DE0C0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Pr="00987333" w:rsidRDefault="00DE0C06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B350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B3502" w:rsidRPr="00987333">
      <w:rPr>
        <w:rFonts w:ascii="Times New Roman" w:hAnsi="Times New Roman"/>
        <w:b/>
        <w:sz w:val="14"/>
        <w:szCs w:val="14"/>
      </w:rPr>
      <w:fldChar w:fldCharType="separate"/>
    </w:r>
    <w:r w:rsidR="00A400A8">
      <w:rPr>
        <w:rFonts w:ascii="Times New Roman" w:hAnsi="Times New Roman"/>
        <w:b/>
        <w:noProof/>
        <w:sz w:val="14"/>
        <w:szCs w:val="14"/>
      </w:rPr>
      <w:t>10</w:t>
    </w:r>
    <w:r w:rsidR="000B350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B350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B3502" w:rsidRPr="00987333">
      <w:rPr>
        <w:rFonts w:ascii="Times New Roman" w:hAnsi="Times New Roman"/>
        <w:sz w:val="14"/>
        <w:szCs w:val="14"/>
      </w:rPr>
      <w:fldChar w:fldCharType="separate"/>
    </w:r>
    <w:r w:rsidR="00A400A8">
      <w:rPr>
        <w:rFonts w:ascii="Times New Roman" w:hAnsi="Times New Roman"/>
        <w:noProof/>
        <w:sz w:val="14"/>
        <w:szCs w:val="14"/>
      </w:rPr>
      <w:t>10</w:t>
    </w:r>
    <w:r w:rsidR="000B3502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2F" w:rsidRDefault="00A434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34" w:rsidRDefault="00226534">
      <w:r>
        <w:separator/>
      </w:r>
    </w:p>
    <w:p w:rsidR="00226534" w:rsidRDefault="00226534"/>
  </w:footnote>
  <w:footnote w:type="continuationSeparator" w:id="0">
    <w:p w:rsidR="00226534" w:rsidRDefault="00226534">
      <w:r>
        <w:continuationSeparator/>
      </w:r>
    </w:p>
    <w:p w:rsidR="00226534" w:rsidRDefault="0022653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2F" w:rsidRDefault="00A434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Pr="00AA5B50" w:rsidRDefault="00DE0C06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890332">
      <w:rPr>
        <w:rFonts w:ascii="Verdana" w:hAnsi="Verdana"/>
        <w:sz w:val="20"/>
        <w:szCs w:val="20"/>
      </w:rPr>
      <w:t>T</w:t>
    </w:r>
    <w:r w:rsidR="007C6C69">
      <w:rPr>
        <w:rFonts w:ascii="Verdana" w:hAnsi="Verdana"/>
        <w:sz w:val="20"/>
        <w:szCs w:val="20"/>
      </w:rPr>
      <w:t>/</w:t>
    </w:r>
    <w:r w:rsidRPr="00AA5B50">
      <w:rPr>
        <w:rFonts w:ascii="Verdana" w:hAnsi="Verdana"/>
        <w:sz w:val="20"/>
        <w:szCs w:val="20"/>
      </w:rPr>
      <w:t>EA/381-</w:t>
    </w:r>
    <w:r w:rsidR="00096542">
      <w:rPr>
        <w:rFonts w:ascii="Verdana" w:hAnsi="Verdana"/>
        <w:sz w:val="20"/>
        <w:szCs w:val="20"/>
      </w:rPr>
      <w:t>69</w:t>
    </w:r>
    <w:r w:rsidRPr="00AA5B50">
      <w:rPr>
        <w:rFonts w:ascii="Verdana" w:hAnsi="Verdana"/>
        <w:sz w:val="20"/>
        <w:szCs w:val="20"/>
      </w:rPr>
      <w:t>/202</w:t>
    </w:r>
    <w:r w:rsidR="003D569F">
      <w:rPr>
        <w:rFonts w:ascii="Verdana" w:hAnsi="Verdana"/>
        <w:sz w:val="20"/>
        <w:szCs w:val="20"/>
      </w:rPr>
      <w:t>3</w:t>
    </w:r>
  </w:p>
  <w:p w:rsidR="00DE0C06" w:rsidRPr="00015936" w:rsidRDefault="00DE0C06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Pr="00AA5B50" w:rsidRDefault="00DE0C06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4"/>
  </w:num>
  <w:num w:numId="4">
    <w:abstractNumId w:val="61"/>
  </w:num>
  <w:num w:numId="5">
    <w:abstractNumId w:val="65"/>
  </w:num>
  <w:num w:numId="6">
    <w:abstractNumId w:val="56"/>
  </w:num>
  <w:num w:numId="7">
    <w:abstractNumId w:val="53"/>
  </w:num>
  <w:num w:numId="8">
    <w:abstractNumId w:val="28"/>
  </w:num>
  <w:num w:numId="9">
    <w:abstractNumId w:val="77"/>
  </w:num>
  <w:num w:numId="10">
    <w:abstractNumId w:val="45"/>
  </w:num>
  <w:num w:numId="11">
    <w:abstractNumId w:val="81"/>
  </w:num>
  <w:num w:numId="12">
    <w:abstractNumId w:val="42"/>
  </w:num>
  <w:num w:numId="13">
    <w:abstractNumId w:val="75"/>
  </w:num>
  <w:num w:numId="14">
    <w:abstractNumId w:val="51"/>
  </w:num>
  <w:num w:numId="15">
    <w:abstractNumId w:val="62"/>
  </w:num>
  <w:num w:numId="16">
    <w:abstractNumId w:val="74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2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88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5792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542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502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453"/>
    <w:rsid w:val="000D7AD1"/>
    <w:rsid w:val="000E12CE"/>
    <w:rsid w:val="000E14EA"/>
    <w:rsid w:val="000E15D6"/>
    <w:rsid w:val="000E1B6E"/>
    <w:rsid w:val="000E242A"/>
    <w:rsid w:val="000E34B4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2657"/>
    <w:rsid w:val="000F36C9"/>
    <w:rsid w:val="000F3927"/>
    <w:rsid w:val="000F4164"/>
    <w:rsid w:val="000F4583"/>
    <w:rsid w:val="000F496B"/>
    <w:rsid w:val="000F5530"/>
    <w:rsid w:val="000F5BBF"/>
    <w:rsid w:val="000F614F"/>
    <w:rsid w:val="00100D01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631"/>
    <w:rsid w:val="00107C4A"/>
    <w:rsid w:val="00107CB8"/>
    <w:rsid w:val="00107DB1"/>
    <w:rsid w:val="00110206"/>
    <w:rsid w:val="0011024F"/>
    <w:rsid w:val="0011047F"/>
    <w:rsid w:val="00110663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6C14"/>
    <w:rsid w:val="00126CE1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AE6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10FF"/>
    <w:rsid w:val="001D2064"/>
    <w:rsid w:val="001D25D5"/>
    <w:rsid w:val="001D2694"/>
    <w:rsid w:val="001D2C66"/>
    <w:rsid w:val="001D2CB4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3C2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53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88F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0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057"/>
    <w:rsid w:val="00352B40"/>
    <w:rsid w:val="00352EEE"/>
    <w:rsid w:val="003531D5"/>
    <w:rsid w:val="003533AC"/>
    <w:rsid w:val="00353D55"/>
    <w:rsid w:val="00354337"/>
    <w:rsid w:val="003546CC"/>
    <w:rsid w:val="00354984"/>
    <w:rsid w:val="00354BCD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6749A"/>
    <w:rsid w:val="0037011B"/>
    <w:rsid w:val="00370D4E"/>
    <w:rsid w:val="0037142C"/>
    <w:rsid w:val="0037204C"/>
    <w:rsid w:val="00373B16"/>
    <w:rsid w:val="00374010"/>
    <w:rsid w:val="00374A0F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50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C635F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3454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6818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270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29E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177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5F41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04A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6A0C"/>
    <w:rsid w:val="004F775E"/>
    <w:rsid w:val="005002C3"/>
    <w:rsid w:val="0050100D"/>
    <w:rsid w:val="00502075"/>
    <w:rsid w:val="005022B1"/>
    <w:rsid w:val="0050234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4CB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192F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A53"/>
    <w:rsid w:val="005841E4"/>
    <w:rsid w:val="00585FCA"/>
    <w:rsid w:val="00586ADA"/>
    <w:rsid w:val="00587E2B"/>
    <w:rsid w:val="00590A3A"/>
    <w:rsid w:val="005931BE"/>
    <w:rsid w:val="005942E4"/>
    <w:rsid w:val="00594721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15B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0B3A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27D2"/>
    <w:rsid w:val="0061480E"/>
    <w:rsid w:val="0061574A"/>
    <w:rsid w:val="00615812"/>
    <w:rsid w:val="0061643A"/>
    <w:rsid w:val="0061718D"/>
    <w:rsid w:val="006174D7"/>
    <w:rsid w:val="006176A5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7FE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5F9D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DAE"/>
    <w:rsid w:val="00673EF1"/>
    <w:rsid w:val="00674057"/>
    <w:rsid w:val="00674F34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623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038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5771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0B8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25CC"/>
    <w:rsid w:val="0077464A"/>
    <w:rsid w:val="00775381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52B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0CD9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8D6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5C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3E74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CBE"/>
    <w:rsid w:val="00877E94"/>
    <w:rsid w:val="00877EFA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198"/>
    <w:rsid w:val="0089693B"/>
    <w:rsid w:val="00896EC1"/>
    <w:rsid w:val="00897144"/>
    <w:rsid w:val="008971CE"/>
    <w:rsid w:val="00897360"/>
    <w:rsid w:val="00897583"/>
    <w:rsid w:val="00897807"/>
    <w:rsid w:val="00897E8C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02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6A8A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A84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07F1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3A3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DD1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580"/>
    <w:rsid w:val="00992ED6"/>
    <w:rsid w:val="00992F5F"/>
    <w:rsid w:val="00993071"/>
    <w:rsid w:val="0099320B"/>
    <w:rsid w:val="0099338A"/>
    <w:rsid w:val="0099343F"/>
    <w:rsid w:val="00994F24"/>
    <w:rsid w:val="00995361"/>
    <w:rsid w:val="009956E0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6DA"/>
    <w:rsid w:val="009A6DCA"/>
    <w:rsid w:val="009B05C6"/>
    <w:rsid w:val="009B0763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0EF2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00A8"/>
    <w:rsid w:val="00A4175B"/>
    <w:rsid w:val="00A41ACC"/>
    <w:rsid w:val="00A4342F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6F3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8C"/>
    <w:rsid w:val="00A93B95"/>
    <w:rsid w:val="00A94562"/>
    <w:rsid w:val="00A94DE4"/>
    <w:rsid w:val="00A95A8E"/>
    <w:rsid w:val="00A95AF5"/>
    <w:rsid w:val="00A95C71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1F0"/>
    <w:rsid w:val="00AB7923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647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17A90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57924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6CFC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95E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29A3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2E5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808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262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828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4AF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6FF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9A2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C29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67F05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5219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A7E59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DAC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956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0F9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48F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4C2E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9F6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CF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CF0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771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7F3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0E09-53DC-4676-B731-36921607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3617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25272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65</cp:revision>
  <cp:lastPrinted>2023-07-28T10:43:00Z</cp:lastPrinted>
  <dcterms:created xsi:type="dcterms:W3CDTF">2023-07-20T10:43:00Z</dcterms:created>
  <dcterms:modified xsi:type="dcterms:W3CDTF">2023-08-29T14:32:00Z</dcterms:modified>
</cp:coreProperties>
</file>