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51874">
        <w:rPr>
          <w:rFonts w:ascii="Verdana" w:hAnsi="Verdana" w:cstheme="minorHAnsi"/>
          <w:b w:val="0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b w:val="0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bezpośrednio związane </w:t>
      </w:r>
      <w:proofErr w:type="spellStart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zpostępowaniemo</w:t>
      </w:r>
      <w:proofErr w:type="spellEnd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internet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: </w:t>
      </w:r>
      <w:hyperlink r:id="rId9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</w:t>
      </w:r>
      <w:r w:rsidR="004878DC">
        <w:rPr>
          <w:rFonts w:ascii="Verdana" w:hAnsi="Verdana" w:cstheme="minorHAnsi"/>
          <w:color w:val="auto"/>
          <w:sz w:val="20"/>
          <w:szCs w:val="20"/>
        </w:rPr>
        <w:t>aniczonego na podstawie art. 132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”</w:t>
      </w:r>
    </w:p>
    <w:p w:rsidR="00577364" w:rsidRPr="001D2432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  <w:highlight w:val="yellow"/>
        </w:rPr>
      </w:pPr>
      <w:r w:rsidRPr="001D2432">
        <w:rPr>
          <w:rFonts w:ascii="Verdana" w:hAnsi="Verdana" w:cstheme="minorHAnsi"/>
          <w:color w:val="auto"/>
          <w:sz w:val="20"/>
          <w:szCs w:val="20"/>
          <w:highlight w:val="yellow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9B36CB" w:rsidRPr="009B36CB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  <w:highlight w:val="yellow"/>
          <w:u w:val="single"/>
        </w:rPr>
      </w:pPr>
      <w:r w:rsidRPr="009B36CB">
        <w:rPr>
          <w:rStyle w:val="txt"/>
          <w:rFonts w:ascii="Verdana" w:hAnsi="Verdana"/>
          <w:i/>
          <w:sz w:val="20"/>
          <w:szCs w:val="20"/>
          <w:highlight w:val="yellow"/>
          <w:u w:val="single"/>
        </w:rPr>
        <w:t xml:space="preserve">Procedura przyspieszona </w:t>
      </w:r>
    </w:p>
    <w:p w:rsidR="009B36CB" w:rsidRPr="009B36CB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  <w:highlight w:val="yellow"/>
        </w:rPr>
      </w:pPr>
      <w:r w:rsidRPr="009B36CB">
        <w:rPr>
          <w:rStyle w:val="txt"/>
          <w:rFonts w:ascii="Verdana" w:hAnsi="Verdana"/>
          <w:i/>
          <w:sz w:val="20"/>
          <w:szCs w:val="20"/>
          <w:highlight w:val="yellow"/>
        </w:rPr>
        <w:t xml:space="preserve">Zamawiający zastosował procedurę przyspieszoną zgodnie z </w:t>
      </w:r>
      <w:proofErr w:type="spellStart"/>
      <w:r w:rsidRPr="009B36CB">
        <w:rPr>
          <w:rStyle w:val="txt"/>
          <w:rFonts w:ascii="Verdana" w:hAnsi="Verdana"/>
          <w:i/>
          <w:sz w:val="20"/>
          <w:szCs w:val="20"/>
          <w:highlight w:val="yellow"/>
        </w:rPr>
        <w:t>art</w:t>
      </w:r>
      <w:proofErr w:type="spellEnd"/>
      <w:r w:rsidRPr="009B36CB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138 ust 2 pkt. 2) ustawy Prawo zamówień publicznych - zachodzi pilna potrzeba udzielenia zamówienia i skrócenie terminu składania ofert jest uzasadnione.</w:t>
      </w:r>
    </w:p>
    <w:p w:rsidR="009B36CB" w:rsidRPr="009B36CB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  <w:highlight w:val="yellow"/>
        </w:rPr>
      </w:pPr>
      <w:r w:rsidRPr="009B36CB">
        <w:rPr>
          <w:rStyle w:val="txt"/>
          <w:rFonts w:ascii="Verdana" w:hAnsi="Verdana"/>
          <w:i/>
          <w:sz w:val="20"/>
          <w:szCs w:val="20"/>
          <w:highlight w:val="yellow"/>
        </w:rPr>
        <w:t>Uzasadnienie konieczności zastosowania procedury przyspieszonej:</w:t>
      </w:r>
    </w:p>
    <w:p w:rsidR="00834096" w:rsidRPr="009B36CB" w:rsidRDefault="006A04FD" w:rsidP="009B36CB">
      <w:pPr>
        <w:spacing w:line="360" w:lineRule="auto"/>
        <w:jc w:val="both"/>
        <w:rPr>
          <w:rFonts w:ascii="Verdana" w:eastAsia="Verdana" w:hAnsi="Verdana"/>
          <w:i/>
          <w:sz w:val="20"/>
          <w:szCs w:val="20"/>
        </w:rPr>
      </w:pPr>
      <w:r>
        <w:rPr>
          <w:rStyle w:val="txt"/>
          <w:rFonts w:ascii="Verdana" w:hAnsi="Verdana"/>
          <w:i/>
          <w:sz w:val="20"/>
          <w:szCs w:val="20"/>
          <w:highlight w:val="yellow"/>
        </w:rPr>
        <w:lastRenderedPageBreak/>
        <w:t>Przeprowadzenie procedury</w:t>
      </w:r>
      <w:r w:rsidR="00115054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przyspiesz</w:t>
      </w:r>
      <w:r>
        <w:rPr>
          <w:rStyle w:val="txt"/>
          <w:rFonts w:ascii="Verdana" w:hAnsi="Verdana"/>
          <w:i/>
          <w:sz w:val="20"/>
          <w:szCs w:val="20"/>
          <w:highlight w:val="yellow"/>
        </w:rPr>
        <w:t>onej</w:t>
      </w:r>
      <w:r w:rsidR="00115054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jest </w:t>
      </w:r>
      <w:r>
        <w:rPr>
          <w:rStyle w:val="txt"/>
          <w:rFonts w:ascii="Verdana" w:hAnsi="Verdana"/>
          <w:i/>
          <w:sz w:val="20"/>
          <w:szCs w:val="20"/>
          <w:highlight w:val="yellow"/>
        </w:rPr>
        <w:t>konieczne</w:t>
      </w:r>
      <w:r w:rsidR="00115054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w związku</w:t>
      </w:r>
      <w:r w:rsidR="009B36CB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z unieważnieniem </w:t>
      </w:r>
      <w:r w:rsidR="00B21B77">
        <w:rPr>
          <w:rStyle w:val="txt"/>
          <w:rFonts w:ascii="Verdana" w:hAnsi="Verdana"/>
          <w:i/>
          <w:sz w:val="20"/>
          <w:szCs w:val="20"/>
          <w:highlight w:val="yellow"/>
        </w:rPr>
        <w:t xml:space="preserve">poprzednio </w:t>
      </w:r>
      <w:r w:rsidR="00115054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przeprowadzonego </w:t>
      </w:r>
      <w:r w:rsidR="009B36CB" w:rsidRPr="008826F1">
        <w:rPr>
          <w:rStyle w:val="txt"/>
          <w:rFonts w:ascii="Verdana" w:hAnsi="Verdana"/>
          <w:i/>
          <w:sz w:val="20"/>
          <w:szCs w:val="20"/>
          <w:highlight w:val="yellow"/>
        </w:rPr>
        <w:t>postępowania o zamówienie</w:t>
      </w:r>
      <w:r w:rsidR="00115054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publiczne, a w konsekwencji niezawarciem</w:t>
      </w:r>
      <w:r w:rsidR="009B36CB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umowy, która zabezpieczy szpital w paliwo gazowe</w:t>
      </w:r>
      <w:r w:rsidR="008826F1" w:rsidRPr="008826F1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po zakończeniu trwającej </w:t>
      </w:r>
      <w:r>
        <w:rPr>
          <w:rStyle w:val="txt"/>
          <w:rFonts w:ascii="Verdana" w:hAnsi="Verdana"/>
          <w:i/>
          <w:sz w:val="20"/>
          <w:szCs w:val="20"/>
          <w:highlight w:val="yellow"/>
        </w:rPr>
        <w:t xml:space="preserve">obecnie </w:t>
      </w:r>
      <w:r w:rsidR="008826F1" w:rsidRPr="008826F1">
        <w:rPr>
          <w:rStyle w:val="txt"/>
          <w:rFonts w:ascii="Verdana" w:hAnsi="Verdana"/>
          <w:i/>
          <w:sz w:val="20"/>
          <w:szCs w:val="20"/>
          <w:highlight w:val="yellow"/>
        </w:rPr>
        <w:t>umowy.</w:t>
      </w:r>
    </w:p>
    <w:p w:rsidR="00834096" w:rsidRPr="00451874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D16730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  <w:highlight w:val="yellow"/>
        </w:rPr>
      </w:pPr>
      <w:r w:rsidRPr="00D16730">
        <w:rPr>
          <w:rFonts w:ascii="Verdana" w:hAnsi="Verdana" w:cstheme="minorHAnsi"/>
          <w:color w:val="auto"/>
          <w:sz w:val="20"/>
          <w:szCs w:val="20"/>
          <w:highlight w:val="yellow"/>
        </w:rPr>
        <w:t>Przedmiotem zamówienia jest kompleksowa dostawa paliwa gazowego dla Wielkopolskiego Centrum Pulmonologii i Torakochirurgii – szpitale w Poznaniu, Ludwikowie i Chodzieży.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Przedmiot zamówienia został szczegółowo opisany w załączniku nr 1 do SWZ, który jest jednocześnie formularzem c</w:t>
      </w:r>
      <w:r w:rsidR="001B7B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1B, 1C</w:t>
      </w:r>
      <w:r w:rsidRPr="00451874">
        <w:rPr>
          <w:rFonts w:ascii="Verdana" w:hAnsi="Verdana" w:cstheme="minorHAnsi"/>
          <w:color w:val="auto"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D243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3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lastRenderedPageBreak/>
        <w:t>2) 12 miesięcy od skutecznego przeprowadzenia procedury zmiany sprzedawcy, jeżeli nastąpi  to po terminie wskazanym w pkt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 xml:space="preserve">Na podstawie art. 108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 xml:space="preserve">przeciwko obrotowi gospodarczemu, o których mowa w art. 296-307 </w:t>
      </w:r>
      <w:r w:rsidRPr="00451874">
        <w:rPr>
          <w:rFonts w:ascii="Verdana" w:hAnsi="Verdana" w:cstheme="minorHAnsi"/>
          <w:sz w:val="20"/>
          <w:szCs w:val="20"/>
        </w:rPr>
        <w:lastRenderedPageBreak/>
        <w:t>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</w:t>
      </w:r>
      <w:r w:rsidRPr="00451874">
        <w:rPr>
          <w:rFonts w:ascii="Verdana" w:hAnsi="Verdana" w:cstheme="minorHAnsi"/>
          <w:sz w:val="20"/>
          <w:szCs w:val="20"/>
        </w:rPr>
        <w:lastRenderedPageBreak/>
        <w:t xml:space="preserve">765/2006 i rozporządzeniu 269/2014 albo wpisanego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>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pkt 1 i 2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oświadczenia wykonawcy, w zakresie 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 xml:space="preserve">art. 109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3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6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</w:t>
      </w:r>
      <w:r w:rsidRPr="00451874">
        <w:rPr>
          <w:rFonts w:ascii="Verdana" w:hAnsi="Verdana" w:cstheme="minorHAnsi"/>
          <w:sz w:val="20"/>
          <w:szCs w:val="20"/>
        </w:rPr>
        <w:lastRenderedPageBreak/>
        <w:t>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W postępowaniu o udzielenie zamówienia komunikacja między Zamawiającym </w:t>
      </w:r>
      <w:r w:rsidRPr="00451874">
        <w:rPr>
          <w:rFonts w:ascii="Verdana" w:eastAsia="Times New Roman" w:hAnsi="Verdana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51874">
          <w:rPr>
            <w:rStyle w:val="Hipercze"/>
            <w:rFonts w:ascii="Verdana" w:eastAsia="Times New Roman" w:hAnsi="Verdana" w:cstheme="minorHAnsi"/>
            <w:sz w:val="20"/>
            <w:szCs w:val="20"/>
          </w:rPr>
          <w:t>przetargi@wcpit.org</w:t>
        </w:r>
      </w:hyperlink>
      <w:r w:rsidRPr="00451874">
        <w:rPr>
          <w:rFonts w:ascii="Verdana" w:eastAsia="Times New Roman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Szczegółowa instrukcja korzystania z SKE stanowi 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załącznik nr </w:t>
      </w:r>
      <w:r w:rsidR="001643B4" w:rsidRPr="00451874">
        <w:rPr>
          <w:rFonts w:ascii="Verdana" w:eastAsia="Times New Roman" w:hAnsi="Verdana" w:cstheme="minorHAnsi"/>
          <w:b/>
          <w:sz w:val="20"/>
          <w:szCs w:val="20"/>
        </w:rPr>
        <w:t>8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 do SWZ.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i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Identyfikator postępowania dla danego postępowania o udzielenie zamówienia dostępny jest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1874">
        <w:rPr>
          <w:rFonts w:ascii="Verdana" w:eastAsia="Times New Roman" w:hAnsi="Verdana" w:cstheme="minorHAnsi"/>
          <w:i/>
          <w:sz w:val="20"/>
          <w:szCs w:val="20"/>
        </w:rPr>
        <w:t xml:space="preserve">dedykowanego formularza dostępnego na SKE. </w:t>
      </w:r>
      <w:r w:rsidRPr="00451874">
        <w:rPr>
          <w:rFonts w:ascii="Verdana" w:eastAsia="Times New Roman" w:hAnsi="Verdana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7364" w:rsidRPr="00451874" w:rsidRDefault="00577364" w:rsidP="00451874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  <w:u w:val="single"/>
        </w:rPr>
        <w:t>Wykonawca chcąc złożyć ofertę</w:t>
      </w:r>
      <w:r w:rsidRPr="00451874">
        <w:rPr>
          <w:rFonts w:ascii="Verdana" w:hAnsi="Verdana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– „Kleopatra” gpg4win udostępnionym na stronie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https://www.gpg4win.org/index.html  (Windows) (patrz pkt. 7.2.1 instrukcji SKE)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– „GPG Suite” udostępnionym na stronie  </w:t>
      </w:r>
    </w:p>
    <w:p w:rsidR="00577364" w:rsidRPr="00451874" w:rsidRDefault="00B456A7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hyperlink r:id="rId11" w:history="1">
        <w:r w:rsidR="00577364" w:rsidRPr="00451874">
          <w:rPr>
            <w:rStyle w:val="Hipercze"/>
            <w:rFonts w:ascii="Verdana" w:hAnsi="Verdana" w:cstheme="minorHAnsi"/>
            <w:sz w:val="20"/>
            <w:szCs w:val="20"/>
          </w:rPr>
          <w:t>https://gpgtools.org</w:t>
        </w:r>
      </w:hyperlink>
      <w:r w:rsidR="00577364" w:rsidRPr="00451874">
        <w:rPr>
          <w:rFonts w:ascii="Verdana" w:hAnsi="Verdana" w:cstheme="minorHAnsi"/>
          <w:sz w:val="20"/>
          <w:szCs w:val="20"/>
        </w:rPr>
        <w:t xml:space="preserve"> (</w:t>
      </w:r>
      <w:proofErr w:type="spellStart"/>
      <w:r w:rsidR="00577364" w:rsidRPr="00451874">
        <w:rPr>
          <w:rFonts w:ascii="Verdana" w:hAnsi="Verdana" w:cstheme="minorHAnsi"/>
          <w:sz w:val="20"/>
          <w:szCs w:val="20"/>
        </w:rPr>
        <w:t>MacOS</w:t>
      </w:r>
      <w:proofErr w:type="spellEnd"/>
      <w:r w:rsidR="00577364" w:rsidRPr="00451874">
        <w:rPr>
          <w:rFonts w:ascii="Verdana" w:hAnsi="Verdana" w:cstheme="minorHAnsi"/>
          <w:sz w:val="20"/>
          <w:szCs w:val="20"/>
        </w:rPr>
        <w:t>, Linux) (patrz pkt. 7.2.2 instrukcji SKE)</w:t>
      </w:r>
    </w:p>
    <w:p w:rsidR="00577364" w:rsidRPr="00451874" w:rsidRDefault="00577364" w:rsidP="00451874">
      <w:pPr>
        <w:widowControl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eastAsia="Calibri" w:hAnsi="Verdana" w:cstheme="minorHAnsi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bookmarkEnd w:id="10"/>
      <w:proofErr w:type="spellEnd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5B73DA" w:rsidRPr="00451874">
        <w:rPr>
          <w:rFonts w:ascii="Verdana" w:hAnsi="Verdana" w:cstheme="minorHAnsi"/>
          <w:sz w:val="20"/>
          <w:szCs w:val="20"/>
        </w:rPr>
        <w:t>Marzena Buksa</w:t>
      </w:r>
      <w:r w:rsidRPr="00451874">
        <w:rPr>
          <w:rFonts w:ascii="Verdana" w:hAnsi="Verdana" w:cstheme="minorHAnsi"/>
          <w:sz w:val="20"/>
          <w:szCs w:val="20"/>
        </w:rPr>
        <w:t xml:space="preserve"> –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tel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61 66 54 </w:t>
      </w:r>
      <w:r w:rsidR="005B73DA" w:rsidRPr="00451874">
        <w:rPr>
          <w:rFonts w:ascii="Verdana" w:hAnsi="Verdana" w:cstheme="minorHAnsi"/>
          <w:sz w:val="20"/>
          <w:szCs w:val="20"/>
        </w:rPr>
        <w:t>336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987840" w:rsidRDefault="00987840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</w:p>
    <w:p w:rsidR="00577364" w:rsidRPr="00451874" w:rsidRDefault="006A04FD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19</w:t>
      </w:r>
      <w:r w:rsidR="007C2268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.12.2023</w:t>
      </w:r>
      <w:r w:rsidR="00577364"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3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3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4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7C2268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21</w:t>
      </w:r>
      <w:r w:rsidR="0012482F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.09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5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7C2268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21</w:t>
      </w:r>
      <w:r w:rsidR="0012482F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.09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.2023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2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6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</w:t>
      </w:r>
      <w:r w:rsidRPr="00451874">
        <w:rPr>
          <w:rFonts w:ascii="Verdana" w:hAnsi="Verdana" w:cstheme="minorHAnsi"/>
          <w:bCs/>
          <w:color w:val="auto"/>
          <w:sz w:val="20"/>
          <w:szCs w:val="20"/>
        </w:rPr>
        <w:lastRenderedPageBreak/>
        <w:t>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8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8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9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dostawa paliwa gazowego – gazu wysokometanowego.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t.j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. Dz. U. z 2012 r. poz. 1059 z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późn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70%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zmiany jednostkowych cen netto o kwotę wynikającą ze zmiany stawki opodatkowania podatkiem akcyzowym oraz brutto w przypadku zmiany stawki podatku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E738BF" w:rsidRDefault="00AE184A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Strony przewiduj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liwo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dokonania zmiany umowy poprzez waloryzacj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wynagrodzenia o wska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nik cen towar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i us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ug konsumpcyjnych (kwarta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do poprzedniego kwarta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u) og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aszany w komunikacie Prezesa G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wnego Urz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du Statystycznego (dalej jako 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„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wska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nik waloryzacji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”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) w przypadku zmiany ceny materia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lub koszt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zwi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zanych z realizacj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zam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wienia, przy 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cznym spe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nieniu nast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puj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cych postanowie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ń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: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strona Umowy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pierwszym wnio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skiem o waloryzację po upływie </w:t>
      </w:r>
      <w:r w:rsidR="00AE184A">
        <w:rPr>
          <w:rFonts w:ascii="Verdana" w:hAnsi="Verdana" w:cstheme="minorHAnsi"/>
          <w:color w:val="auto"/>
          <w:sz w:val="20"/>
          <w:szCs w:val="20"/>
        </w:rPr>
        <w:t>3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 miesięcy </w:t>
      </w:r>
      <w:r w:rsidRPr="006467D7">
        <w:rPr>
          <w:rFonts w:ascii="Verdana" w:hAnsi="Verdana" w:cstheme="minorHAnsi"/>
          <w:color w:val="auto"/>
          <w:sz w:val="20"/>
          <w:szCs w:val="20"/>
        </w:rPr>
        <w:t>od dnia up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ywu terminu sk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adania ofert)  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strona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wnioskiem, je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eli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 waloryzacji zmieni 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o co najmniej 10% w stosunku do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 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zuj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cego w dniu otwarcia ofert;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w przypadku wzrostu lub obni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waloryzacji, waloryzacja b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dzie polega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a odpowiednio na wzro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6467D7">
        <w:rPr>
          <w:rFonts w:ascii="Verdana" w:hAnsi="Verdana" w:cstheme="minorHAnsi"/>
          <w:color w:val="auto"/>
          <w:sz w:val="20"/>
          <w:szCs w:val="20"/>
        </w:rPr>
        <w:t>cie lub obni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eniu wynagrodzenia za us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ugi realizowane po dniu 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wniosku o warto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procentow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waloryzacji, przy czym strona Umowy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wnioskiem o 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d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kolejn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waloryzacj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ę nie wcześniej niż po upływie </w:t>
      </w:r>
      <w:r w:rsidR="00AE184A">
        <w:rPr>
          <w:rFonts w:ascii="Verdana" w:hAnsi="Verdana" w:cstheme="minorHAnsi"/>
          <w:color w:val="auto"/>
          <w:sz w:val="20"/>
          <w:szCs w:val="20"/>
        </w:rPr>
        <w:t>3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miesi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cy od poprzedniej waloryzacji 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 w:hint="cs"/>
          <w:color w:val="auto"/>
          <w:sz w:val="20"/>
          <w:szCs w:val="20"/>
        </w:rPr>
        <w:t>„</w:t>
      </w:r>
      <w:r w:rsidRPr="006467D7">
        <w:rPr>
          <w:rFonts w:ascii="Verdana" w:hAnsi="Verdana" w:cstheme="minorHAnsi"/>
          <w:color w:val="auto"/>
          <w:sz w:val="20"/>
          <w:szCs w:val="20"/>
        </w:rPr>
        <w:t>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 waloryzacji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”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nie dotyczy </w:t>
      </w:r>
      <w:r w:rsidR="00AE184A">
        <w:rPr>
          <w:rFonts w:ascii="Verdana" w:hAnsi="Verdana" w:cstheme="minorHAnsi"/>
          <w:color w:val="auto"/>
          <w:sz w:val="20"/>
          <w:szCs w:val="20"/>
        </w:rPr>
        <w:t>dostaw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 zrealizowanych przed dat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wniosku o zmian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wysoko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6467D7">
        <w:rPr>
          <w:rFonts w:ascii="Verdana" w:hAnsi="Verdana" w:cstheme="minorHAnsi"/>
          <w:color w:val="auto"/>
          <w:sz w:val="20"/>
          <w:szCs w:val="20"/>
        </w:rPr>
        <w:t>ci wynagrodzenia przez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kolwiek ze Stron umowy,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maksymalna warto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zmiany wynagrodzenia brutto, jak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dopuszcza Zamawiaj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 w efekcie zastosowania niniejszych postanowie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6467D7">
        <w:rPr>
          <w:rFonts w:ascii="Verdana" w:hAnsi="Verdana" w:cstheme="minorHAnsi"/>
          <w:color w:val="auto"/>
          <w:sz w:val="20"/>
          <w:szCs w:val="20"/>
        </w:rPr>
        <w:t>, nie przekroczy 15% wynagrodzenia brutto Wykonawcy, ustalonego w dniu zawarcia Umowy.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Wykonawca,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rego wynagrodzenie zosta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o zmienione </w:t>
      </w:r>
      <w:r w:rsidR="00AE184A">
        <w:rPr>
          <w:rFonts w:ascii="Verdana" w:hAnsi="Verdana" w:cstheme="minorHAnsi"/>
          <w:color w:val="auto"/>
          <w:sz w:val="20"/>
          <w:szCs w:val="20"/>
        </w:rPr>
        <w:t xml:space="preserve">na zasadach określonych powyżej </w:t>
      </w:r>
      <w:bookmarkStart w:id="20" w:name="_GoBack"/>
      <w:bookmarkEnd w:id="20"/>
      <w:r w:rsidRPr="006467D7">
        <w:rPr>
          <w:rFonts w:ascii="Verdana" w:hAnsi="Verdana" w:cstheme="minorHAnsi"/>
          <w:color w:val="auto"/>
          <w:sz w:val="20"/>
          <w:szCs w:val="20"/>
        </w:rPr>
        <w:t>zobowi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zany jest do zmiany wynagrodzenia przys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uguj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cego podwykonawcy, z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rym zawar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umow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, w zakresie odpowiadaj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cym zmianom cen materia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Pr="006467D7">
        <w:rPr>
          <w:rFonts w:ascii="Verdana" w:hAnsi="Verdana" w:cstheme="minorHAnsi"/>
          <w:color w:val="auto"/>
          <w:sz w:val="20"/>
          <w:szCs w:val="20"/>
        </w:rPr>
        <w:t>w lub koszt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w dotycz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cych zobowi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zania podwykonawcy je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eli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 </w:t>
      </w:r>
      <w:r w:rsidRPr="006467D7">
        <w:rPr>
          <w:rFonts w:ascii="Verdana" w:hAnsi="Verdana" w:cstheme="minorHAnsi"/>
          <w:color w:val="auto"/>
          <w:sz w:val="20"/>
          <w:szCs w:val="20"/>
        </w:rPr>
        <w:t>przedmiotem umowy 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roboty </w:t>
      </w:r>
      <w:r w:rsidRPr="006467D7">
        <w:rPr>
          <w:rFonts w:ascii="Verdana" w:hAnsi="Verdana" w:cstheme="minorHAnsi"/>
          <w:color w:val="auto"/>
          <w:sz w:val="20"/>
          <w:szCs w:val="20"/>
        </w:rPr>
        <w:lastRenderedPageBreak/>
        <w:t>budowlane, dostawy lub us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ugi, a okres 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zywania umowy przekracza 6 miesi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cy.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B24F2A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Należności będą płatne przez Zamawiającego przelewem na rachunek o nr </w:t>
      </w:r>
      <w:r w:rsidRPr="00834096">
        <w:rPr>
          <w:rFonts w:ascii="Verdana" w:hAnsi="Verdana" w:cstheme="minorHAnsi"/>
          <w:color w:val="auto"/>
          <w:sz w:val="20"/>
          <w:szCs w:val="20"/>
          <w:highlight w:val="yellow"/>
        </w:rPr>
        <w:t xml:space="preserve">…………………………………………………………., w terminie </w:t>
      </w:r>
      <w:r w:rsidRPr="008340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do 30 dni</w:t>
      </w:r>
      <w:r w:rsidRPr="00834096">
        <w:rPr>
          <w:rFonts w:ascii="Verdana" w:hAnsi="Verdana" w:cstheme="minorHAnsi"/>
          <w:color w:val="auto"/>
          <w:sz w:val="20"/>
          <w:szCs w:val="20"/>
          <w:highlight w:val="yellow"/>
        </w:rPr>
        <w:t xml:space="preserve"> od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daty doręczenia Zamawiającemu wystawionej faktury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1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Pisma w formie pisemnej wnosi się za pośrednictwem operatora pocztowego, w </w:t>
      </w:r>
      <w:r w:rsidRPr="00451874">
        <w:rPr>
          <w:rFonts w:ascii="Verdana" w:hAnsi="Verdana" w:cstheme="minorHAnsi"/>
          <w:sz w:val="20"/>
          <w:szCs w:val="20"/>
        </w:rPr>
        <w:lastRenderedPageBreak/>
        <w:t>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2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2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3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4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5" w:name="_Toc64559040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Informacja o przewidywanym wyborze najkorzystniejszej oferty z zastosowaniem aukcji elektronicznej wraz z informacjami, o których mowa </w:t>
      </w:r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>w art. 230</w:t>
      </w:r>
      <w:r w:rsidRPr="00451874">
        <w:rPr>
          <w:rFonts w:ascii="Verdana" w:hAnsi="Verdana" w:cstheme="minorHAnsi"/>
          <w:sz w:val="20"/>
          <w:szCs w:val="20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  <w:bookmarkEnd w:id="25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6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6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A, 1B, 1C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9766FE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2023 i 2024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lastRenderedPageBreak/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577364" w:rsidRPr="00834096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</w:p>
    <w:p w:rsidR="007F4043" w:rsidRDefault="00B605DB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04.09.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202</w:t>
      </w:r>
      <w:r w:rsidR="002C11F9">
        <w:rPr>
          <w:rFonts w:ascii="Verdana" w:hAnsi="Verdana" w:cstheme="minorHAnsi"/>
          <w:i/>
          <w:color w:val="auto"/>
          <w:sz w:val="20"/>
          <w:szCs w:val="20"/>
        </w:rPr>
        <w:t>3</w:t>
      </w:r>
      <w:r>
        <w:rPr>
          <w:rFonts w:ascii="Verdana" w:hAnsi="Verdana" w:cstheme="minorHAnsi"/>
          <w:i/>
          <w:color w:val="auto"/>
          <w:sz w:val="20"/>
          <w:szCs w:val="20"/>
        </w:rPr>
        <w:t xml:space="preserve"> r.</w:t>
      </w:r>
    </w:p>
    <w:p w:rsidR="00B605DB" w:rsidRPr="00451874" w:rsidRDefault="00B605DB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……………………………………….</w:t>
      </w:r>
    </w:p>
    <w:sectPr w:rsidR="00B605DB" w:rsidRPr="00451874" w:rsidSect="00A31BBF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68" w:rsidRDefault="007C2268">
      <w:r>
        <w:separator/>
      </w:r>
    </w:p>
    <w:p w:rsidR="007C2268" w:rsidRDefault="007C2268"/>
  </w:endnote>
  <w:endnote w:type="continuationSeparator" w:id="0">
    <w:p w:rsidR="007C2268" w:rsidRDefault="007C2268">
      <w:r>
        <w:continuationSeparator/>
      </w:r>
    </w:p>
    <w:p w:rsidR="007C2268" w:rsidRDefault="007C22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Default="007C226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268" w:rsidRDefault="007C2268" w:rsidP="00487F43">
    <w:pPr>
      <w:pStyle w:val="Stopka"/>
      <w:ind w:right="360"/>
    </w:pPr>
  </w:p>
  <w:p w:rsidR="007C2268" w:rsidRDefault="007C22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987333" w:rsidRDefault="007C226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B21B77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B21B77">
      <w:rPr>
        <w:rFonts w:ascii="Times New Roman" w:hAnsi="Times New Roman"/>
        <w:noProof/>
        <w:sz w:val="14"/>
        <w:szCs w:val="14"/>
      </w:rPr>
      <w:t>18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68" w:rsidRDefault="007C2268">
      <w:r>
        <w:separator/>
      </w:r>
    </w:p>
    <w:p w:rsidR="007C2268" w:rsidRDefault="007C2268"/>
  </w:footnote>
  <w:footnote w:type="continuationSeparator" w:id="0">
    <w:p w:rsidR="007C2268" w:rsidRDefault="007C2268">
      <w:r>
        <w:continuationSeparator/>
      </w:r>
    </w:p>
    <w:p w:rsidR="007C2268" w:rsidRDefault="007C22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D447D9" w:rsidRDefault="007C226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  <w:p w:rsidR="007C2268" w:rsidRPr="00015936" w:rsidRDefault="007C226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004D56" w:rsidRDefault="007C226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0B63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5054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482F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486B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1C2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47B32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8DC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ADC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4FD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268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6F1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177B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840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CB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935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BBF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77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6A7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05D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07FE8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934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F0DF-FD70-4D0B-B2F3-AB652DE7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5067</Words>
  <Characters>30404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35401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2</cp:revision>
  <cp:lastPrinted>2023-09-04T11:34:00Z</cp:lastPrinted>
  <dcterms:created xsi:type="dcterms:W3CDTF">2023-09-04T13:57:00Z</dcterms:created>
  <dcterms:modified xsi:type="dcterms:W3CDTF">2023-09-04T13:57:00Z</dcterms:modified>
</cp:coreProperties>
</file>