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E56486">
        <w:rPr>
          <w:rFonts w:ascii="Verdana" w:hAnsi="Verdana"/>
          <w:b/>
          <w:sz w:val="20"/>
          <w:szCs w:val="20"/>
        </w:rPr>
        <w:t xml:space="preserve"> antybiotyków,</w:t>
      </w:r>
      <w:r w:rsidRPr="0041761E">
        <w:rPr>
          <w:rFonts w:ascii="Verdana" w:hAnsi="Verdana"/>
          <w:b/>
          <w:sz w:val="20"/>
          <w:szCs w:val="20"/>
        </w:rPr>
        <w:t xml:space="preserve"> leków ogólnych</w:t>
      </w:r>
      <w:r w:rsidR="00E56486">
        <w:rPr>
          <w:rFonts w:ascii="Verdana" w:hAnsi="Verdana"/>
          <w:b/>
          <w:sz w:val="20"/>
          <w:szCs w:val="20"/>
        </w:rPr>
        <w:t xml:space="preserve"> i przeciwnowotworowych.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 xml:space="preserve">Dostawa </w:t>
      </w:r>
      <w:r w:rsidR="00235D27">
        <w:rPr>
          <w:rFonts w:ascii="Verdana" w:hAnsi="Verdana"/>
          <w:b/>
          <w:sz w:val="20"/>
          <w:szCs w:val="20"/>
        </w:rPr>
        <w:t xml:space="preserve">antybiotyków, </w:t>
      </w:r>
      <w:r w:rsidR="0068149D" w:rsidRPr="0041761E">
        <w:rPr>
          <w:rFonts w:ascii="Verdana" w:hAnsi="Verdana"/>
          <w:b/>
          <w:sz w:val="20"/>
          <w:szCs w:val="20"/>
        </w:rPr>
        <w:t>leków o</w:t>
      </w:r>
      <w:r w:rsidR="00235D27">
        <w:rPr>
          <w:rFonts w:ascii="Verdana" w:hAnsi="Verdana"/>
          <w:b/>
          <w:sz w:val="20"/>
          <w:szCs w:val="20"/>
        </w:rPr>
        <w:t>gólnych i przeciwnowotworowych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235D27">
        <w:rPr>
          <w:rFonts w:ascii="Verdana" w:hAnsi="Verdana"/>
          <w:b/>
          <w:iCs/>
          <w:color w:val="auto"/>
          <w:sz w:val="20"/>
          <w:szCs w:val="20"/>
        </w:rPr>
        <w:t>17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235D27">
        <w:rPr>
          <w:rFonts w:ascii="Verdana" w:hAnsi="Verdana"/>
          <w:b/>
          <w:iCs/>
          <w:color w:val="auto"/>
          <w:sz w:val="20"/>
          <w:szCs w:val="20"/>
        </w:rPr>
        <w:t>ów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235D27" w:rsidRPr="00235D27" w:rsidRDefault="00235D27" w:rsidP="00235D27">
      <w:pPr>
        <w:spacing w:line="360" w:lineRule="auto"/>
        <w:rPr>
          <w:rFonts w:ascii="Verdana" w:hAnsi="Verdana"/>
          <w:b/>
          <w:sz w:val="20"/>
          <w:szCs w:val="20"/>
        </w:rPr>
      </w:pPr>
      <w:r w:rsidRPr="00235D27">
        <w:rPr>
          <w:rFonts w:ascii="Verdana" w:hAnsi="Verdana"/>
          <w:b/>
          <w:sz w:val="20"/>
          <w:szCs w:val="20"/>
        </w:rPr>
        <w:t>33621100-0, 33670000-7, 33675000-2, 33616000-1, 33615000-4, 33600000-6, 33622100-7, 33661200-3, 33661100-2, 33617000-8, 33693000-4, 33661000-1, 33661600-7, 33614000-7, 33652100-6, 33651510-6, 33651100-9</w:t>
      </w:r>
    </w:p>
    <w:p w:rsidR="0008796D" w:rsidRPr="0041761E" w:rsidRDefault="0008796D" w:rsidP="0041761E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Termin wykonania zamówienia</w:t>
      </w:r>
      <w:bookmarkEnd w:id="5"/>
    </w:p>
    <w:p w:rsidR="00D447D9" w:rsidRPr="0041761E" w:rsidRDefault="00AF44E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  <w:r>
        <w:rPr>
          <w:rFonts w:ascii="Verdana" w:hAnsi="Verdana"/>
          <w:color w:val="auto"/>
          <w:sz w:val="20"/>
          <w:szCs w:val="20"/>
        </w:rPr>
        <w:t>6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doszło do zakłócenia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41761E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Informacja o warunkach udziału w postępowaniu o udzielenie zamówienia</w:t>
      </w:r>
      <w:bookmarkEnd w:id="8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41761E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, sporządzonych nie wcześniej niż 3 miesiące przed jej złożeniem, jeżeli odrębne przepisy wymagają wpisu do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41761E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lastRenderedPageBreak/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0A0393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9C000F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41761E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41761E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>ca jest związany ofertą do 17.01.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202</w:t>
      </w:r>
      <w:r w:rsidR="00877684">
        <w:rPr>
          <w:rFonts w:ascii="Verdana" w:hAnsi="Verdana"/>
          <w:b/>
          <w:color w:val="auto"/>
          <w:sz w:val="20"/>
          <w:szCs w:val="20"/>
        </w:rPr>
        <w:t>4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r.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77684">
        <w:rPr>
          <w:rFonts w:ascii="Verdana" w:eastAsia="Times New Roman" w:hAnsi="Verdana"/>
          <w:b/>
          <w:color w:val="auto"/>
          <w:sz w:val="20"/>
          <w:szCs w:val="20"/>
        </w:rPr>
        <w:t xml:space="preserve"> 27.11.</w:t>
      </w:r>
      <w:r w:rsidR="006D5466" w:rsidRPr="0041761E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877684">
        <w:rPr>
          <w:rFonts w:ascii="Verdana" w:eastAsia="Times New Roman" w:hAnsi="Verdana"/>
          <w:b/>
          <w:color w:val="auto"/>
          <w:sz w:val="20"/>
          <w:szCs w:val="20"/>
        </w:rPr>
        <w:t xml:space="preserve"> 27.11.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2023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 xml:space="preserve">wskazania wartości towaru lub usługi objętego obowiązkiem podatkowym zamawiającego, </w:t>
      </w:r>
      <w:r w:rsidRPr="0041761E">
        <w:rPr>
          <w:rFonts w:ascii="Verdana" w:hAnsi="Verdana"/>
          <w:bCs/>
          <w:sz w:val="20"/>
          <w:szCs w:val="20"/>
        </w:rPr>
        <w:lastRenderedPageBreak/>
        <w:t>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41761E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41761E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9E110E" w:rsidRPr="0041761E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>
        <w:rPr>
          <w:rFonts w:ascii="Verdana" w:hAnsi="Verdana"/>
          <w:b/>
          <w:sz w:val="20"/>
          <w:szCs w:val="20"/>
        </w:rPr>
        <w:t>aby ilość leku była zgodna z  S</w:t>
      </w:r>
      <w:r w:rsidRPr="0041761E">
        <w:rPr>
          <w:rFonts w:ascii="Verdana" w:hAnsi="Verdana"/>
          <w:b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41761E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>
        <w:rPr>
          <w:rFonts w:ascii="Verdana" w:hAnsi="Verdana"/>
          <w:b/>
          <w:sz w:val="20"/>
          <w:szCs w:val="20"/>
        </w:rPr>
        <w:t>w pozycjach, gdzie w S</w:t>
      </w:r>
      <w:r w:rsidRPr="0041761E">
        <w:rPr>
          <w:rFonts w:ascii="Verdana" w:hAnsi="Verdana"/>
          <w:b/>
          <w:sz w:val="20"/>
          <w:szCs w:val="20"/>
        </w:rPr>
        <w:t>WZ występują sztuki lub miligramy.</w:t>
      </w:r>
    </w:p>
    <w:p w:rsidR="009E110E" w:rsidRPr="0041761E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b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samego.</w:t>
      </w:r>
    </w:p>
    <w:p w:rsidR="009E110E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We wszystkich pakietach  Zamawiający wymaga podania</w:t>
      </w:r>
      <w:r w:rsidRPr="0041761E">
        <w:rPr>
          <w:rFonts w:ascii="Verdana" w:hAnsi="Verdana"/>
          <w:b/>
          <w:bCs/>
          <w:sz w:val="20"/>
          <w:szCs w:val="20"/>
        </w:rPr>
        <w:t xml:space="preserve"> nazwy handlowej, postaci, dawki oraz wskazane jest podanie nazwy producenta i kodu EAN.</w:t>
      </w:r>
    </w:p>
    <w:p w:rsidR="0017795B" w:rsidRPr="0017795B" w:rsidRDefault="0017795B" w:rsidP="0017795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17795B">
        <w:rPr>
          <w:rFonts w:ascii="Verdana" w:hAnsi="Verdana"/>
          <w:b/>
          <w:bCs/>
          <w:sz w:val="20"/>
          <w:szCs w:val="20"/>
        </w:rPr>
        <w:t>Wszystkie leki umieszczone w pakietach nr 3, 4, 6, 7, 11, 17 muszą posiadać rejestrację w leczeniu raka płuc, a zaoferowana cena jednostkowa nie może być wyższa niż limit finansowania określony przez NFZ.</w:t>
      </w:r>
    </w:p>
    <w:p w:rsidR="009E110E" w:rsidRDefault="009E110E" w:rsidP="0041761E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41761E">
        <w:rPr>
          <w:rFonts w:ascii="Verdana" w:hAnsi="Verdana"/>
          <w:b/>
          <w:bCs/>
          <w:sz w:val="20"/>
          <w:szCs w:val="20"/>
        </w:rPr>
        <w:t>Zaof</w:t>
      </w:r>
      <w:r w:rsidR="008276C2">
        <w:rPr>
          <w:rFonts w:ascii="Verdana" w:hAnsi="Verdana"/>
          <w:b/>
          <w:bCs/>
          <w:sz w:val="20"/>
          <w:szCs w:val="20"/>
        </w:rPr>
        <w:t>erowana cena jednostkowa leków z</w:t>
      </w:r>
      <w:r w:rsidRPr="0041761E">
        <w:rPr>
          <w:rFonts w:ascii="Verdana" w:hAnsi="Verdana"/>
          <w:b/>
          <w:bCs/>
          <w:sz w:val="20"/>
          <w:szCs w:val="20"/>
        </w:rPr>
        <w:t xml:space="preserve"> </w:t>
      </w:r>
      <w:r w:rsidR="008276C2">
        <w:rPr>
          <w:rFonts w:ascii="Verdana" w:hAnsi="Verdana"/>
          <w:b/>
          <w:bCs/>
          <w:i/>
          <w:sz w:val="20"/>
          <w:szCs w:val="20"/>
          <w:u w:val="single"/>
        </w:rPr>
        <w:t>pakietu</w:t>
      </w:r>
      <w:r w:rsidRPr="0041761E">
        <w:rPr>
          <w:rFonts w:ascii="Verdana" w:hAnsi="Verdana"/>
          <w:b/>
          <w:bCs/>
          <w:i/>
          <w:sz w:val="20"/>
          <w:szCs w:val="20"/>
          <w:u w:val="single"/>
        </w:rPr>
        <w:t xml:space="preserve"> nr 1</w:t>
      </w:r>
      <w:r w:rsidR="008276C2">
        <w:rPr>
          <w:rFonts w:ascii="Verdana" w:hAnsi="Verdana"/>
          <w:b/>
          <w:bCs/>
          <w:i/>
          <w:sz w:val="20"/>
          <w:szCs w:val="20"/>
          <w:u w:val="single"/>
        </w:rPr>
        <w:t xml:space="preserve"> poz. 13</w:t>
      </w:r>
      <w:r w:rsidRPr="0041761E">
        <w:rPr>
          <w:rFonts w:ascii="Verdana" w:hAnsi="Verdana"/>
          <w:b/>
          <w:bCs/>
          <w:sz w:val="20"/>
          <w:szCs w:val="20"/>
        </w:rPr>
        <w:t xml:space="preserve"> nie może być wyższa niż limit finansowania określony przez NFZ w katalogu substancji czynnych</w:t>
      </w:r>
      <w:r w:rsidR="0063606A">
        <w:rPr>
          <w:rFonts w:ascii="Verdana" w:hAnsi="Verdana"/>
          <w:b/>
          <w:bCs/>
          <w:sz w:val="20"/>
          <w:szCs w:val="20"/>
        </w:rPr>
        <w:t xml:space="preserve"> stosowanych w chemioterapi</w:t>
      </w:r>
      <w:r w:rsidR="001A4F11">
        <w:rPr>
          <w:rFonts w:ascii="Verdana" w:hAnsi="Verdana"/>
          <w:b/>
          <w:bCs/>
          <w:sz w:val="20"/>
          <w:szCs w:val="20"/>
        </w:rPr>
        <w:t>i</w:t>
      </w:r>
      <w:r w:rsidRPr="0041761E">
        <w:rPr>
          <w:rFonts w:ascii="Verdana" w:hAnsi="Verdana"/>
          <w:b/>
          <w:bCs/>
          <w:sz w:val="20"/>
          <w:szCs w:val="20"/>
        </w:rPr>
        <w:t xml:space="preserve">. </w:t>
      </w:r>
    </w:p>
    <w:p w:rsidR="005B6F9B" w:rsidRDefault="005B6F9B" w:rsidP="005B6F9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5B6F9B">
        <w:rPr>
          <w:rFonts w:ascii="Verdana" w:hAnsi="Verdana"/>
          <w:b/>
          <w:bCs/>
          <w:sz w:val="20"/>
          <w:szCs w:val="20"/>
        </w:rPr>
        <w:t>Zaoferowana cena jednostkowa leków w pakietach nr 5 nie może być wyższa niż limit finansowania określony przez NFZ w katalogu substancji czynnych. Lek musi znajdować się w katalogu substancji czynnych stosowanych w ramach programu lekowego zapobiegania powikłaniom kostnym u dorosłych pacjentów z zaawansowanym procesem nowotworowym obejmującym kości.</w:t>
      </w:r>
    </w:p>
    <w:p w:rsidR="009304A2" w:rsidRDefault="009304A2" w:rsidP="009304A2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9304A2">
        <w:rPr>
          <w:rFonts w:ascii="Verdana" w:hAnsi="Verdana"/>
          <w:b/>
          <w:bCs/>
          <w:sz w:val="20"/>
          <w:szCs w:val="20"/>
        </w:rPr>
        <w:t>Zaoferowana cena jednostkowa leków w pakietach nr 8 nie może być wyższa niż limit finansowania określony przez NFZ w katalogu substancji czynnych. Lek musi znajdować się w katalogu substancji czynnych stosowanych w ramach programu lekowego leczenia pierwotnych  niedoborów odporności u dorosłych.</w:t>
      </w:r>
    </w:p>
    <w:p w:rsidR="00766246" w:rsidRDefault="00766246" w:rsidP="00766246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766246">
        <w:rPr>
          <w:rFonts w:ascii="Verdana" w:hAnsi="Verdana"/>
          <w:b/>
          <w:bCs/>
          <w:sz w:val="20"/>
          <w:szCs w:val="20"/>
        </w:rPr>
        <w:t xml:space="preserve">Zaoferowana cena jednostkowa leków w pakietach nr 9 nie może być wyższa niż limit finansowania określony przez NFZ w katalogu substancji czynnych. Lek musi znajdować się w katalogu substancji czynnych stosowanych w ramach programu lekowego leczenia ciężkiej astmy alergicznej </w:t>
      </w:r>
      <w:proofErr w:type="spellStart"/>
      <w:r w:rsidRPr="00766246">
        <w:rPr>
          <w:rFonts w:ascii="Verdana" w:hAnsi="Verdana"/>
          <w:b/>
          <w:bCs/>
          <w:sz w:val="20"/>
          <w:szCs w:val="20"/>
        </w:rPr>
        <w:t>IgE</w:t>
      </w:r>
      <w:proofErr w:type="spellEnd"/>
      <w:r w:rsidRPr="00766246">
        <w:rPr>
          <w:rFonts w:ascii="Verdana" w:hAnsi="Verdana"/>
          <w:b/>
          <w:bCs/>
          <w:sz w:val="20"/>
          <w:szCs w:val="20"/>
        </w:rPr>
        <w:t xml:space="preserve"> zależnej.</w:t>
      </w:r>
    </w:p>
    <w:p w:rsidR="00183459" w:rsidRPr="00183459" w:rsidRDefault="00183459" w:rsidP="00183459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183459">
        <w:rPr>
          <w:rFonts w:ascii="Verdana" w:hAnsi="Verdana"/>
          <w:b/>
          <w:bCs/>
          <w:sz w:val="20"/>
          <w:szCs w:val="20"/>
        </w:rPr>
        <w:t>Zaoferowana cena jednostkowa leków w pakietach nr 10 nie może być wyższa niż limit finansowania określony przez NFZ w katalogu substancji czynnych. Lek musi znajdować się w katalogu substancji czynnych stosowanych w ramach programu leczenia idiopatycznego włóknienia płuc.</w:t>
      </w:r>
    </w:p>
    <w:p w:rsidR="009E110E" w:rsidRPr="0041761E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41761E">
        <w:rPr>
          <w:rFonts w:ascii="Verdana" w:hAnsi="Verdana"/>
          <w:b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proofErr w:type="spellStart"/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>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fertyw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celu zawarcia umowy w sprawie Zamówienia publicznego</w:t>
      </w:r>
      <w:bookmarkEnd w:id="2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Domniemywa się, że zamawiający mógł zapoznać się z treścią odwołania przed upływem terminu do jego wniesienia, jeżeli przekazanie odpowiednio odwołania albo jego kopii nastąpiło przed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lastRenderedPageBreak/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C02EF4">
        <w:rPr>
          <w:rFonts w:ascii="Verdana" w:hAnsi="Verdana"/>
          <w:color w:val="auto"/>
          <w:sz w:val="20"/>
          <w:szCs w:val="20"/>
        </w:rPr>
        <w:t>20</w:t>
      </w:r>
      <w:r w:rsidR="009B3A9E">
        <w:rPr>
          <w:rFonts w:ascii="Verdana" w:hAnsi="Verdana"/>
          <w:color w:val="auto"/>
          <w:sz w:val="20"/>
          <w:szCs w:val="20"/>
        </w:rPr>
        <w:t>.10.</w:t>
      </w:r>
      <w:r w:rsidR="00B45B02" w:rsidRPr="0041761E">
        <w:rPr>
          <w:rFonts w:ascii="Verdana" w:hAnsi="Verdana"/>
          <w:color w:val="auto"/>
          <w:sz w:val="20"/>
          <w:szCs w:val="20"/>
        </w:rPr>
        <w:t>2023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4C6" w:rsidRDefault="00E674C6">
      <w:r>
        <w:separator/>
      </w:r>
    </w:p>
    <w:p w:rsidR="00E674C6" w:rsidRDefault="00E674C6"/>
  </w:endnote>
  <w:endnote w:type="continuationSeparator" w:id="0">
    <w:p w:rsidR="00E674C6" w:rsidRDefault="00E674C6">
      <w:r>
        <w:continuationSeparator/>
      </w:r>
    </w:p>
    <w:p w:rsidR="00E674C6" w:rsidRDefault="00E674C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0A039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0A0393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0A0393" w:rsidRPr="00657C4F">
      <w:rPr>
        <w:rFonts w:ascii="Verdana" w:hAnsi="Verdana"/>
        <w:sz w:val="14"/>
        <w:szCs w:val="14"/>
      </w:rPr>
      <w:fldChar w:fldCharType="separate"/>
    </w:r>
    <w:r w:rsidR="00A72B59">
      <w:rPr>
        <w:rFonts w:ascii="Verdana" w:hAnsi="Verdana"/>
        <w:noProof/>
        <w:sz w:val="14"/>
        <w:szCs w:val="14"/>
      </w:rPr>
      <w:t>11</w:t>
    </w:r>
    <w:r w:rsidR="000A0393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0A0393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0A0393" w:rsidRPr="00657C4F">
      <w:rPr>
        <w:rFonts w:ascii="Verdana" w:hAnsi="Verdana"/>
        <w:sz w:val="14"/>
        <w:szCs w:val="14"/>
      </w:rPr>
      <w:fldChar w:fldCharType="separate"/>
    </w:r>
    <w:r w:rsidR="00A72B59">
      <w:rPr>
        <w:rFonts w:ascii="Verdana" w:hAnsi="Verdana"/>
        <w:noProof/>
        <w:sz w:val="14"/>
        <w:szCs w:val="14"/>
      </w:rPr>
      <w:t>12</w:t>
    </w:r>
    <w:r w:rsidR="000A0393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79" w:rsidRDefault="007761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4C6" w:rsidRDefault="00E674C6">
      <w:r>
        <w:separator/>
      </w:r>
    </w:p>
    <w:p w:rsidR="00E674C6" w:rsidRDefault="00E674C6"/>
  </w:footnote>
  <w:footnote w:type="continuationSeparator" w:id="0">
    <w:p w:rsidR="00E674C6" w:rsidRDefault="00E674C6">
      <w:r>
        <w:continuationSeparator/>
      </w:r>
    </w:p>
    <w:p w:rsidR="00E674C6" w:rsidRDefault="00E674C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79" w:rsidRDefault="0077617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776179">
      <w:rPr>
        <w:rFonts w:ascii="Verdana" w:hAnsi="Verdana"/>
        <w:sz w:val="20"/>
        <w:szCs w:val="20"/>
      </w:rPr>
      <w:t>75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843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1A550-06A7-44B3-86E8-05C368F3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4728</Words>
  <Characters>28371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33033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46</cp:revision>
  <cp:lastPrinted>2023-10-20T10:54:00Z</cp:lastPrinted>
  <dcterms:created xsi:type="dcterms:W3CDTF">2023-09-27T11:30:00Z</dcterms:created>
  <dcterms:modified xsi:type="dcterms:W3CDTF">2023-10-20T10:54:00Z</dcterms:modified>
</cp:coreProperties>
</file>