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D4540A">
        <w:rPr>
          <w:rFonts w:ascii="Verdana" w:hAnsi="Verdana"/>
          <w:b/>
          <w:sz w:val="20"/>
          <w:szCs w:val="20"/>
        </w:rPr>
        <w:t>do programów lekowych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D4540A">
        <w:rPr>
          <w:rFonts w:ascii="Verdana" w:hAnsi="Verdana"/>
          <w:b/>
          <w:sz w:val="20"/>
          <w:szCs w:val="20"/>
        </w:rPr>
        <w:t xml:space="preserve"> leków do programów lekowych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D4540A">
        <w:rPr>
          <w:rFonts w:ascii="Verdana" w:hAnsi="Verdana"/>
          <w:b/>
          <w:iCs/>
          <w:color w:val="auto"/>
          <w:sz w:val="20"/>
          <w:szCs w:val="20"/>
        </w:rPr>
        <w:t>10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D4540A" w:rsidRDefault="00D4540A" w:rsidP="0041761E">
      <w:pPr>
        <w:pStyle w:val="Akapitzlist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4540A">
        <w:rPr>
          <w:rFonts w:ascii="Times New Roman" w:hAnsi="Times New Roman"/>
          <w:b/>
        </w:rPr>
        <w:t>33651510-6, 33670000-7, 33620000-2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 xml:space="preserve">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BC25B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0E4E8B">
        <w:rPr>
          <w:rFonts w:ascii="Verdana" w:hAnsi="Verdana"/>
          <w:b/>
          <w:color w:val="auto"/>
          <w:sz w:val="20"/>
          <w:szCs w:val="20"/>
          <w:highlight w:val="yellow"/>
        </w:rPr>
        <w:t>24.06.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27.03.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C246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27.03.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ofertowa musi być wyrażona w złotych polskich z dokładnością do dwóch miejsc po </w:t>
      </w:r>
      <w:r w:rsidRPr="0041761E">
        <w:rPr>
          <w:rFonts w:ascii="Verdana" w:hAnsi="Verdana"/>
          <w:sz w:val="20"/>
          <w:szCs w:val="20"/>
        </w:rPr>
        <w:lastRenderedPageBreak/>
        <w:t>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17795B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Pr="00CC21A4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5B6F9B" w:rsidRPr="00EA7EE6" w:rsidRDefault="005B6F9B" w:rsidP="005B6F9B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</w:t>
      </w:r>
      <w:r w:rsidR="00CC21A4">
        <w:rPr>
          <w:rFonts w:ascii="Verdana" w:hAnsi="Verdana"/>
          <w:bCs/>
          <w:sz w:val="20"/>
          <w:szCs w:val="20"/>
        </w:rPr>
        <w:t xml:space="preserve">owa leków w pakietach nr </w:t>
      </w:r>
      <w:r w:rsidR="00CC21A4" w:rsidRPr="00CC21A4">
        <w:rPr>
          <w:rFonts w:ascii="Verdana" w:hAnsi="Verdana"/>
          <w:b/>
          <w:bCs/>
          <w:sz w:val="20"/>
          <w:szCs w:val="20"/>
        </w:rPr>
        <w:t>1 ,2 i 3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</w:t>
      </w:r>
      <w:r w:rsidR="00CC21A4">
        <w:rPr>
          <w:rFonts w:ascii="Verdana" w:hAnsi="Verdana"/>
          <w:bCs/>
          <w:sz w:val="20"/>
          <w:szCs w:val="20"/>
        </w:rPr>
        <w:t>ych w ramach programu lekowego leczenia pierwotnych niedoborów odporności u dorosłych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9304A2" w:rsidRPr="00EA7EE6" w:rsidRDefault="009304A2" w:rsidP="009304A2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</w:t>
      </w:r>
      <w:r w:rsidR="00645801">
        <w:rPr>
          <w:rFonts w:ascii="Verdana" w:hAnsi="Verdana"/>
          <w:bCs/>
          <w:sz w:val="20"/>
          <w:szCs w:val="20"/>
        </w:rPr>
        <w:t xml:space="preserve">dnostkowa leków w </w:t>
      </w:r>
      <w:r w:rsidR="00645801" w:rsidRPr="00645801">
        <w:rPr>
          <w:rFonts w:ascii="Verdana" w:hAnsi="Verdana"/>
          <w:b/>
          <w:bCs/>
          <w:sz w:val="20"/>
          <w:szCs w:val="20"/>
        </w:rPr>
        <w:t>pakietach nr 4 i 5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</w:t>
      </w:r>
      <w:r w:rsidR="00645801">
        <w:rPr>
          <w:rFonts w:ascii="Verdana" w:hAnsi="Verdana"/>
          <w:bCs/>
          <w:sz w:val="20"/>
          <w:szCs w:val="20"/>
        </w:rPr>
        <w:t xml:space="preserve"> idiopatycznego włóknienia płuc</w:t>
      </w:r>
      <w:r w:rsidRPr="00EA7EE6">
        <w:rPr>
          <w:rFonts w:ascii="Verdana" w:hAnsi="Verdana"/>
          <w:bCs/>
          <w:sz w:val="20"/>
          <w:szCs w:val="20"/>
        </w:rPr>
        <w:t>.</w:t>
      </w:r>
    </w:p>
    <w:p w:rsidR="00766246" w:rsidRPr="00EA7EE6" w:rsidRDefault="00766246" w:rsidP="00766246">
      <w:pPr>
        <w:pStyle w:val="Tekstpodstawowy"/>
        <w:widowControl/>
        <w:numPr>
          <w:ilvl w:val="0"/>
          <w:numId w:val="33"/>
        </w:numPr>
        <w:suppressAutoHyphens w:val="0"/>
        <w:spacing w:after="0"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EA7EE6">
        <w:rPr>
          <w:rFonts w:ascii="Verdana" w:hAnsi="Verdana"/>
          <w:bCs/>
          <w:sz w:val="20"/>
          <w:szCs w:val="20"/>
        </w:rPr>
        <w:t>Zaoferowana cena jednostkowa leków w pakietach nr</w:t>
      </w:r>
      <w:r w:rsidR="00286F2C">
        <w:rPr>
          <w:rFonts w:ascii="Verdana" w:hAnsi="Verdana"/>
          <w:bCs/>
          <w:sz w:val="20"/>
          <w:szCs w:val="20"/>
        </w:rPr>
        <w:t xml:space="preserve"> </w:t>
      </w:r>
      <w:r w:rsidR="00286F2C" w:rsidRPr="00286F2C">
        <w:rPr>
          <w:rFonts w:ascii="Verdana" w:hAnsi="Verdana"/>
          <w:b/>
          <w:bCs/>
          <w:sz w:val="20"/>
          <w:szCs w:val="20"/>
        </w:rPr>
        <w:t xml:space="preserve">6,7,8 i </w:t>
      </w:r>
      <w:r w:rsidRPr="00286F2C">
        <w:rPr>
          <w:rFonts w:ascii="Verdana" w:hAnsi="Verdana"/>
          <w:b/>
          <w:bCs/>
          <w:sz w:val="20"/>
          <w:szCs w:val="20"/>
        </w:rPr>
        <w:t xml:space="preserve"> 9</w:t>
      </w:r>
      <w:r w:rsidRPr="00EA7EE6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czynnych. Lek musi znajdować się w katalogu substancji czynnych stosowanych w ramach programu lekowego leczenia ciężkiej astmy alergicznej </w:t>
      </w:r>
      <w:proofErr w:type="spellStart"/>
      <w:r w:rsidRPr="00EA7EE6">
        <w:rPr>
          <w:rFonts w:ascii="Verdana" w:hAnsi="Verdana"/>
          <w:bCs/>
          <w:sz w:val="20"/>
          <w:szCs w:val="20"/>
        </w:rPr>
        <w:t>IgE</w:t>
      </w:r>
      <w:proofErr w:type="spellEnd"/>
      <w:r w:rsidRPr="00EA7EE6">
        <w:rPr>
          <w:rFonts w:ascii="Verdana" w:hAnsi="Verdana"/>
          <w:bCs/>
          <w:sz w:val="20"/>
          <w:szCs w:val="20"/>
        </w:rPr>
        <w:t xml:space="preserve"> zależnej</w:t>
      </w:r>
      <w:r w:rsidR="00286F2C">
        <w:rPr>
          <w:rFonts w:ascii="Verdana" w:hAnsi="Verdana"/>
          <w:bCs/>
          <w:sz w:val="20"/>
          <w:szCs w:val="20"/>
        </w:rPr>
        <w:t xml:space="preserve"> oraz ciężkiej astmy </w:t>
      </w:r>
      <w:proofErr w:type="spellStart"/>
      <w:r w:rsidR="00286F2C"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EA7EE6">
        <w:rPr>
          <w:rFonts w:ascii="Verdana" w:hAnsi="Verdana"/>
          <w:bCs/>
          <w:sz w:val="20"/>
          <w:szCs w:val="20"/>
        </w:rPr>
        <w:t>.</w:t>
      </w:r>
    </w:p>
    <w:p w:rsidR="00183459" w:rsidRPr="004C4B52" w:rsidRDefault="00183459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Zaoferowana ce</w:t>
      </w:r>
      <w:r w:rsidR="00D810D0">
        <w:rPr>
          <w:rFonts w:ascii="Verdana" w:hAnsi="Verdana"/>
          <w:bCs/>
          <w:sz w:val="20"/>
          <w:szCs w:val="20"/>
        </w:rPr>
        <w:t>na jednostkowa leków w pakiecie</w:t>
      </w:r>
      <w:r w:rsidRPr="004C4B52">
        <w:rPr>
          <w:rFonts w:ascii="Verdana" w:hAnsi="Verdana"/>
          <w:bCs/>
          <w:sz w:val="20"/>
          <w:szCs w:val="20"/>
        </w:rPr>
        <w:t xml:space="preserve"> </w:t>
      </w:r>
      <w:r w:rsidRPr="00D810D0">
        <w:rPr>
          <w:rFonts w:ascii="Verdana" w:hAnsi="Verdana"/>
          <w:b/>
          <w:bCs/>
          <w:sz w:val="20"/>
          <w:szCs w:val="20"/>
        </w:rPr>
        <w:t>nr 10</w:t>
      </w:r>
      <w:r w:rsidRPr="004C4B52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</w:t>
      </w:r>
      <w:r w:rsidR="004C4B52" w:rsidRPr="004C4B52">
        <w:rPr>
          <w:rFonts w:ascii="Verdana" w:hAnsi="Verdana"/>
          <w:bCs/>
          <w:sz w:val="20"/>
          <w:szCs w:val="20"/>
        </w:rPr>
        <w:t xml:space="preserve"> stosowanych w ramach programu lekowego leczenia zapobiegawczego chorych z nawracającymi napadami dziedzicznego obrzęku naczynioworuchowego (HAE) o ciężkim przebiegu</w:t>
      </w:r>
      <w:r w:rsidRPr="004C4B52">
        <w:rPr>
          <w:rFonts w:ascii="Verdana" w:hAnsi="Verdana"/>
          <w:bCs/>
          <w:sz w:val="20"/>
          <w:szCs w:val="20"/>
        </w:rPr>
        <w:t xml:space="preserve">. </w:t>
      </w:r>
    </w:p>
    <w:p w:rsidR="009E110E" w:rsidRPr="00EA7EE6" w:rsidRDefault="009E110E" w:rsidP="0041761E">
      <w:pPr>
        <w:pStyle w:val="Tekstpodstawowy"/>
        <w:widowControl/>
        <w:numPr>
          <w:ilvl w:val="0"/>
          <w:numId w:val="33"/>
        </w:numPr>
        <w:tabs>
          <w:tab w:val="left" w:pos="426"/>
        </w:tabs>
        <w:suppressAutoHyphens w:val="0"/>
        <w:spacing w:after="0"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C4B52">
        <w:rPr>
          <w:rFonts w:ascii="Verdana" w:hAnsi="Verdana"/>
          <w:bCs/>
          <w:sz w:val="20"/>
          <w:szCs w:val="20"/>
        </w:rPr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lastRenderedPageBreak/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9E612E">
        <w:rPr>
          <w:rFonts w:ascii="Verdana" w:hAnsi="Verdana"/>
          <w:color w:val="auto"/>
          <w:sz w:val="20"/>
          <w:szCs w:val="20"/>
        </w:rPr>
        <w:t>20.02.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2E" w:rsidRDefault="00BF012E">
      <w:r>
        <w:separator/>
      </w:r>
    </w:p>
    <w:p w:rsidR="00BF012E" w:rsidRDefault="00BF012E"/>
  </w:endnote>
  <w:endnote w:type="continuationSeparator" w:id="0">
    <w:p w:rsidR="00BF012E" w:rsidRDefault="00BF012E">
      <w:r>
        <w:continuationSeparator/>
      </w:r>
    </w:p>
    <w:p w:rsidR="00BF012E" w:rsidRDefault="00BF012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BC25B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BC25BD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BC25BD" w:rsidRPr="00657C4F">
      <w:rPr>
        <w:rFonts w:ascii="Verdana" w:hAnsi="Verdana"/>
        <w:sz w:val="14"/>
        <w:szCs w:val="14"/>
      </w:rPr>
      <w:fldChar w:fldCharType="separate"/>
    </w:r>
    <w:r w:rsidR="009E612E">
      <w:rPr>
        <w:rFonts w:ascii="Verdana" w:hAnsi="Verdana"/>
        <w:noProof/>
        <w:sz w:val="14"/>
        <w:szCs w:val="14"/>
      </w:rPr>
      <w:t>12</w:t>
    </w:r>
    <w:r w:rsidR="00BC25BD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BC25BD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BC25BD" w:rsidRPr="00657C4F">
      <w:rPr>
        <w:rFonts w:ascii="Verdana" w:hAnsi="Verdana"/>
        <w:sz w:val="14"/>
        <w:szCs w:val="14"/>
      </w:rPr>
      <w:fldChar w:fldCharType="separate"/>
    </w:r>
    <w:r w:rsidR="009E612E">
      <w:rPr>
        <w:rFonts w:ascii="Verdana" w:hAnsi="Verdana"/>
        <w:noProof/>
        <w:sz w:val="14"/>
        <w:szCs w:val="14"/>
      </w:rPr>
      <w:t>12</w:t>
    </w:r>
    <w:r w:rsidR="00BC25BD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2E" w:rsidRDefault="00BF012E">
      <w:r>
        <w:separator/>
      </w:r>
    </w:p>
    <w:p w:rsidR="00BF012E" w:rsidRDefault="00BF012E"/>
  </w:footnote>
  <w:footnote w:type="continuationSeparator" w:id="0">
    <w:p w:rsidR="00BF012E" w:rsidRDefault="00BF012E">
      <w:r>
        <w:continuationSeparator/>
      </w:r>
    </w:p>
    <w:p w:rsidR="00BF012E" w:rsidRDefault="00BF012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DF679C">
      <w:rPr>
        <w:rFonts w:ascii="Verdana" w:hAnsi="Verdana"/>
        <w:sz w:val="20"/>
        <w:szCs w:val="20"/>
      </w:rPr>
      <w:t>8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9A91-5F83-40D3-BFB5-324EB84B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4846</Words>
  <Characters>29081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33860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45</cp:revision>
  <cp:lastPrinted>2024-01-03T09:12:00Z</cp:lastPrinted>
  <dcterms:created xsi:type="dcterms:W3CDTF">2024-01-23T10:46:00Z</dcterms:created>
  <dcterms:modified xsi:type="dcterms:W3CDTF">2024-02-19T08:19:00Z</dcterms:modified>
</cp:coreProperties>
</file>