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0B7EFB" w:rsidRPr="000B7EFB">
        <w:t xml:space="preserve">leków </w:t>
      </w:r>
      <w:r w:rsidR="006A5EEC">
        <w:t xml:space="preserve">do programów lekowych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F24B67" w:rsidRPr="00F24B67" w:rsidRDefault="00D32B18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Ustalone wynagrodzenie będzie waloryzowane nie częściej niż raz na 3 miesiące, w oparciu o wartość wskaźnika cen towarów i usług, publikowanego w Komunikacie Prezesa Głównego Urzędu Statystycznego.</w:t>
      </w:r>
      <w:r w:rsidR="00F24B67" w:rsidRPr="00F24B67">
        <w:t xml:space="preserve"> </w:t>
      </w:r>
      <w:r w:rsidR="00F24B67" w:rsidRPr="00F24B67">
        <w:rPr>
          <w:rFonts w:ascii="Verdana" w:hAnsi="Verdana" w:cs="Arial"/>
          <w:sz w:val="20"/>
          <w:szCs w:val="20"/>
        </w:rPr>
        <w:t xml:space="preserve">z zastrzeżeniem </w:t>
      </w:r>
      <w:proofErr w:type="spellStart"/>
      <w:r w:rsidR="00F24B67" w:rsidRPr="00F24B67">
        <w:rPr>
          <w:rFonts w:ascii="Verdana" w:hAnsi="Verdana" w:cs="Arial"/>
          <w:sz w:val="20"/>
          <w:szCs w:val="20"/>
        </w:rPr>
        <w:t>pkt</w:t>
      </w:r>
      <w:proofErr w:type="spellEnd"/>
      <w:r w:rsidR="00F24B67" w:rsidRPr="00F24B67">
        <w:rPr>
          <w:rFonts w:ascii="Verdana" w:hAnsi="Verdana" w:cs="Arial"/>
          <w:sz w:val="20"/>
          <w:szCs w:val="20"/>
        </w:rPr>
        <w:t xml:space="preserve"> 3 </w:t>
      </w:r>
    </w:p>
    <w:p w:rsidR="00D32B18" w:rsidRDefault="00F24B67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F24B67">
        <w:rPr>
          <w:rFonts w:ascii="Verdana" w:hAnsi="Verdana" w:cs="Arial"/>
          <w:sz w:val="20"/>
          <w:szCs w:val="20"/>
        </w:rPr>
        <w:t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</w:t>
      </w:r>
      <w:r w:rsidR="00D32B18">
        <w:rPr>
          <w:rFonts w:ascii="Verdana" w:hAnsi="Verdana" w:cs="Arial"/>
          <w:sz w:val="20"/>
          <w:szCs w:val="20"/>
        </w:rPr>
        <w:t xml:space="preserve">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lastRenderedPageBreak/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BF" w:rsidRDefault="00D064BF">
      <w:r>
        <w:separator/>
      </w:r>
    </w:p>
  </w:endnote>
  <w:endnote w:type="continuationSeparator" w:id="0">
    <w:p w:rsidR="00D064BF" w:rsidRDefault="00D0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4E4CD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4E4CD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7EE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BF" w:rsidRDefault="00D064BF">
      <w:r>
        <w:separator/>
      </w:r>
    </w:p>
  </w:footnote>
  <w:footnote w:type="continuationSeparator" w:id="0">
    <w:p w:rsidR="00D064BF" w:rsidRDefault="00D06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Pr="00AE427E" w:rsidRDefault="00F04254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576F8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6E89"/>
    <w:rsid w:val="006E7F92"/>
    <w:rsid w:val="006F6DEB"/>
    <w:rsid w:val="00706B50"/>
    <w:rsid w:val="007073E6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13116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3902"/>
    <w:rsid w:val="00C2522F"/>
    <w:rsid w:val="00C3101D"/>
    <w:rsid w:val="00C3137C"/>
    <w:rsid w:val="00C31AEE"/>
    <w:rsid w:val="00C33CA9"/>
    <w:rsid w:val="00C44386"/>
    <w:rsid w:val="00C449F8"/>
    <w:rsid w:val="00C4575A"/>
    <w:rsid w:val="00C70ADB"/>
    <w:rsid w:val="00C745AD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866C9-6B04-4AA6-88CC-ED7D1D93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1629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4</cp:revision>
  <cp:lastPrinted>2013-05-31T07:55:00Z</cp:lastPrinted>
  <dcterms:created xsi:type="dcterms:W3CDTF">2024-02-19T08:09:00Z</dcterms:created>
  <dcterms:modified xsi:type="dcterms:W3CDTF">2024-02-19T08:13:00Z</dcterms:modified>
</cp:coreProperties>
</file>