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B8" w:rsidRPr="007207FF" w:rsidRDefault="009050B8" w:rsidP="007207FF">
      <w:pPr>
        <w:spacing w:before="0"/>
        <w:ind w:firstLine="0"/>
        <w:rPr>
          <w:rFonts w:ascii="Bookman Old Style" w:hAnsi="Bookman Old Style" w:cs="Times New Roman"/>
          <w:b/>
          <w:u w:val="single"/>
        </w:rPr>
      </w:pPr>
      <w:r w:rsidRPr="007207FF">
        <w:rPr>
          <w:rFonts w:ascii="Bookman Old Style" w:hAnsi="Bookman Old Style" w:cs="Times New Roman"/>
          <w:b/>
          <w:u w:val="single"/>
        </w:rPr>
        <w:t xml:space="preserve">Załącznik </w:t>
      </w:r>
      <w:r w:rsidR="00BF4F34" w:rsidRPr="007207FF">
        <w:rPr>
          <w:rFonts w:ascii="Bookman Old Style" w:hAnsi="Bookman Old Style" w:cs="Times New Roman"/>
          <w:b/>
          <w:u w:val="single"/>
        </w:rPr>
        <w:t>1</w:t>
      </w:r>
      <w:r w:rsidR="007207FF">
        <w:rPr>
          <w:rFonts w:ascii="Bookman Old Style" w:hAnsi="Bookman Old Style" w:cs="Times New Roman"/>
          <w:b/>
          <w:u w:val="single"/>
        </w:rPr>
        <w:t xml:space="preserve"> cz.1</w:t>
      </w:r>
    </w:p>
    <w:p w:rsidR="00CC6B16" w:rsidRPr="007207FF" w:rsidRDefault="00CC6B16" w:rsidP="007207FF">
      <w:pPr>
        <w:spacing w:before="0"/>
        <w:ind w:firstLine="0"/>
        <w:rPr>
          <w:rFonts w:ascii="Bookman Old Style" w:hAnsi="Bookman Old Style" w:cs="Times New Roman"/>
        </w:rPr>
      </w:pPr>
    </w:p>
    <w:p w:rsidR="009050B8" w:rsidRPr="007207FF" w:rsidRDefault="009050B8" w:rsidP="007207FF">
      <w:pPr>
        <w:pStyle w:val="Akapitzlist"/>
        <w:spacing w:before="0"/>
        <w:ind w:left="0" w:firstLine="0"/>
        <w:rPr>
          <w:rFonts w:ascii="Bookman Old Style" w:hAnsi="Bookman Old Style" w:cs="Times New Roman"/>
          <w:b/>
          <w:u w:val="single"/>
        </w:rPr>
      </w:pPr>
      <w:r w:rsidRPr="007207FF">
        <w:rPr>
          <w:rFonts w:ascii="Bookman Old Style" w:hAnsi="Bookman Old Style" w:cs="Times New Roman"/>
          <w:b/>
          <w:u w:val="single"/>
        </w:rPr>
        <w:t xml:space="preserve">Parametry </w:t>
      </w:r>
      <w:r w:rsidR="00051FE7" w:rsidRPr="007207FF">
        <w:rPr>
          <w:rFonts w:ascii="Bookman Old Style" w:hAnsi="Bookman Old Style" w:cs="Times New Roman"/>
          <w:b/>
          <w:u w:val="single"/>
        </w:rPr>
        <w:t xml:space="preserve">wymagane </w:t>
      </w:r>
      <w:r w:rsidRPr="007207FF">
        <w:rPr>
          <w:rFonts w:ascii="Bookman Old Style" w:hAnsi="Bookman Old Style" w:cs="Times New Roman"/>
          <w:b/>
          <w:u w:val="single"/>
        </w:rPr>
        <w:t>systemu do barwień immunohistochemicznych.</w:t>
      </w:r>
    </w:p>
    <w:p w:rsidR="008D4090" w:rsidRPr="007207FF" w:rsidRDefault="008D4090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Rok produkcji aparatu (ów) </w:t>
      </w:r>
      <w:r w:rsidR="00A37056" w:rsidRPr="007207FF">
        <w:rPr>
          <w:rFonts w:ascii="Bookman Old Style" w:hAnsi="Bookman Old Style" w:cs="Times New Roman"/>
        </w:rPr>
        <w:t xml:space="preserve">i mikroskopu </w:t>
      </w:r>
      <w:r w:rsidR="0075282D" w:rsidRPr="007207FF">
        <w:rPr>
          <w:rFonts w:ascii="Bookman Old Style" w:hAnsi="Bookman Old Style" w:cs="Times New Roman"/>
        </w:rPr>
        <w:t xml:space="preserve">- </w:t>
      </w:r>
      <w:r w:rsidRPr="007207FF">
        <w:rPr>
          <w:rFonts w:ascii="Bookman Old Style" w:hAnsi="Bookman Old Style" w:cs="Times New Roman"/>
        </w:rPr>
        <w:t>nie starszy niż 2016</w:t>
      </w:r>
    </w:p>
    <w:p w:rsidR="00974BD3" w:rsidRPr="007207FF" w:rsidRDefault="00974BD3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Aparat</w:t>
      </w:r>
      <w:r w:rsidR="0075282D" w:rsidRPr="007207FF">
        <w:rPr>
          <w:rFonts w:ascii="Bookman Old Style" w:hAnsi="Bookman Old Style" w:cs="Times New Roman"/>
        </w:rPr>
        <w:t>(y)</w:t>
      </w:r>
      <w:r w:rsidRPr="007207FF">
        <w:rPr>
          <w:rFonts w:ascii="Bookman Old Style" w:hAnsi="Bookman Old Style" w:cs="Times New Roman"/>
        </w:rPr>
        <w:t xml:space="preserve"> </w:t>
      </w:r>
      <w:r w:rsidR="00D01C5C" w:rsidRPr="007207FF">
        <w:rPr>
          <w:rFonts w:ascii="Bookman Old Style" w:hAnsi="Bookman Old Style" w:cs="Times New Roman"/>
        </w:rPr>
        <w:t xml:space="preserve">do barwień immunohistochemicznych (zwany dalej SYSTEMEM IHC) </w:t>
      </w:r>
      <w:r w:rsidRPr="007207FF">
        <w:rPr>
          <w:rFonts w:ascii="Bookman Old Style" w:hAnsi="Bookman Old Style" w:cs="Times New Roman"/>
        </w:rPr>
        <w:t>wolnostojący.</w:t>
      </w:r>
    </w:p>
    <w:p w:rsidR="002D0E9B" w:rsidRPr="007207FF" w:rsidRDefault="00267CC1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9</w:t>
      </w:r>
      <w:r w:rsidR="00FD63C6" w:rsidRPr="007207FF">
        <w:rPr>
          <w:rFonts w:ascii="Bookman Old Style" w:hAnsi="Bookman Old Style" w:cs="Times New Roman"/>
        </w:rPr>
        <w:t>0</w:t>
      </w:r>
      <w:r w:rsidR="002D0E9B" w:rsidRPr="007207FF">
        <w:rPr>
          <w:rFonts w:ascii="Bookman Old Style" w:hAnsi="Bookman Old Style" w:cs="Times New Roman"/>
        </w:rPr>
        <w:t xml:space="preserve"> </w:t>
      </w:r>
      <w:r w:rsidR="006B2278" w:rsidRPr="007207FF">
        <w:rPr>
          <w:rFonts w:ascii="Bookman Old Style" w:hAnsi="Bookman Old Style" w:cs="Times New Roman"/>
        </w:rPr>
        <w:t xml:space="preserve">lub więcej </w:t>
      </w:r>
      <w:r w:rsidR="002D0E9B" w:rsidRPr="007207FF">
        <w:rPr>
          <w:rFonts w:ascii="Bookman Old Style" w:hAnsi="Bookman Old Style" w:cs="Times New Roman"/>
        </w:rPr>
        <w:t xml:space="preserve"> miejsc na barwione szkiełka</w:t>
      </w:r>
      <w:r w:rsidR="002954BC" w:rsidRPr="007207FF">
        <w:rPr>
          <w:rFonts w:ascii="Bookman Old Style" w:hAnsi="Bookman Old Style" w:cs="Times New Roman"/>
        </w:rPr>
        <w:t xml:space="preserve"> (w przypadku braku wymaganej liczb</w:t>
      </w:r>
      <w:r w:rsidRPr="007207FF">
        <w:rPr>
          <w:rFonts w:ascii="Bookman Old Style" w:hAnsi="Bookman Old Style" w:cs="Times New Roman"/>
        </w:rPr>
        <w:t>y miejsc – dostarczenie odpowiedniej liczby aparatów</w:t>
      </w:r>
      <w:r w:rsidR="002954BC" w:rsidRPr="007207FF">
        <w:rPr>
          <w:rFonts w:ascii="Bookman Old Style" w:hAnsi="Bookman Old Style" w:cs="Times New Roman"/>
        </w:rPr>
        <w:t xml:space="preserve">). </w:t>
      </w:r>
    </w:p>
    <w:p w:rsidR="00F11195" w:rsidRPr="007207FF" w:rsidRDefault="00F11195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Aparat posiadający niezbędne certyfikaty do diagnostyki pacjenta CE i IVD.</w:t>
      </w:r>
    </w:p>
    <w:p w:rsidR="002D0E9B" w:rsidRPr="007207FF" w:rsidRDefault="002D0E9B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Czas wykonania pełnego barwienia IHC od etapu </w:t>
      </w:r>
      <w:proofErr w:type="spellStart"/>
      <w:r w:rsidRPr="007207FF">
        <w:rPr>
          <w:rFonts w:ascii="Bookman Old Style" w:hAnsi="Bookman Old Style" w:cs="Times New Roman"/>
        </w:rPr>
        <w:t>deparafinizacji</w:t>
      </w:r>
      <w:proofErr w:type="spellEnd"/>
      <w:r w:rsidRPr="007207FF">
        <w:rPr>
          <w:rFonts w:ascii="Bookman Old Style" w:hAnsi="Bookman Old Style" w:cs="Times New Roman"/>
        </w:rPr>
        <w:t xml:space="preserve"> do etapu podbarwienia tła </w:t>
      </w:r>
      <w:r w:rsidR="006B2278" w:rsidRPr="007207FF">
        <w:rPr>
          <w:rFonts w:ascii="Bookman Old Style" w:hAnsi="Bookman Old Style" w:cs="Times New Roman"/>
        </w:rPr>
        <w:t>max.</w:t>
      </w:r>
      <w:r w:rsidR="007C6473" w:rsidRPr="007207FF">
        <w:rPr>
          <w:rFonts w:ascii="Bookman Old Style" w:hAnsi="Bookman Old Style" w:cs="Times New Roman"/>
        </w:rPr>
        <w:t xml:space="preserve"> </w:t>
      </w:r>
      <w:r w:rsidR="00267CC1" w:rsidRPr="007207FF">
        <w:rPr>
          <w:rFonts w:ascii="Bookman Old Style" w:hAnsi="Bookman Old Style" w:cs="Times New Roman"/>
        </w:rPr>
        <w:t>do</w:t>
      </w:r>
      <w:r w:rsidR="00051FE7" w:rsidRPr="007207FF">
        <w:rPr>
          <w:rFonts w:ascii="Bookman Old Style" w:hAnsi="Bookman Old Style" w:cs="Times New Roman"/>
        </w:rPr>
        <w:t xml:space="preserve"> 5 h</w:t>
      </w:r>
      <w:r w:rsidR="00156E2D" w:rsidRPr="007207FF">
        <w:rPr>
          <w:rFonts w:ascii="Bookman Old Style" w:hAnsi="Bookman Old Style" w:cs="Times New Roman"/>
        </w:rPr>
        <w:t xml:space="preserve"> (parametr oceniany)</w:t>
      </w:r>
    </w:p>
    <w:p w:rsidR="00974BD3" w:rsidRPr="007207FF" w:rsidRDefault="00C61BC4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Aparat pracujący w technologii </w:t>
      </w:r>
      <w:proofErr w:type="spellStart"/>
      <w:r w:rsidRPr="007207FF">
        <w:rPr>
          <w:rFonts w:ascii="Bookman Old Style" w:hAnsi="Bookman Old Style" w:cs="Times New Roman"/>
        </w:rPr>
        <w:t>bezksylenowej</w:t>
      </w:r>
      <w:proofErr w:type="spellEnd"/>
      <w:r w:rsidRPr="007207FF">
        <w:rPr>
          <w:rFonts w:ascii="Bookman Old Style" w:hAnsi="Bookman Old Style" w:cs="Times New Roman"/>
        </w:rPr>
        <w:t>.</w:t>
      </w:r>
    </w:p>
    <w:p w:rsidR="00FD63C6" w:rsidRPr="007207FF" w:rsidRDefault="00FD63C6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Wszystkie etapy procedur immunohistochemicznych powinny być wykonywane na pokładzie jednego aparatu</w:t>
      </w:r>
      <w:r w:rsidR="00FC3DDC" w:rsidRPr="007207FF">
        <w:rPr>
          <w:rFonts w:ascii="Bookman Old Style" w:hAnsi="Bookman Old Style" w:cs="Times New Roman"/>
        </w:rPr>
        <w:t xml:space="preserve"> w celu eliminacji</w:t>
      </w:r>
      <w:r w:rsidR="003524D3" w:rsidRPr="007207FF">
        <w:rPr>
          <w:rFonts w:ascii="Bookman Old Style" w:hAnsi="Bookman Old Style" w:cs="Times New Roman"/>
        </w:rPr>
        <w:t xml:space="preserve"> (minimalizacji)</w:t>
      </w:r>
      <w:r w:rsidR="00FC3DDC" w:rsidRPr="007207FF">
        <w:rPr>
          <w:rFonts w:ascii="Bookman Old Style" w:hAnsi="Bookman Old Style" w:cs="Times New Roman"/>
        </w:rPr>
        <w:t xml:space="preserve"> wykonywanych czynności manualnych</w:t>
      </w:r>
      <w:r w:rsidRPr="007207FF">
        <w:rPr>
          <w:rFonts w:ascii="Bookman Old Style" w:hAnsi="Bookman Old Style" w:cs="Times New Roman"/>
        </w:rPr>
        <w:t>.</w:t>
      </w:r>
    </w:p>
    <w:p w:rsidR="004B0FCB" w:rsidRPr="007207FF" w:rsidRDefault="004B0FCB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Możliwość pracy  z następującymi rodzajami preparatów: skrawki parafinowe, rozmazy, </w:t>
      </w:r>
      <w:proofErr w:type="spellStart"/>
      <w:r w:rsidRPr="007207FF">
        <w:rPr>
          <w:rFonts w:ascii="Bookman Old Style" w:hAnsi="Bookman Old Style" w:cs="Times New Roman"/>
        </w:rPr>
        <w:t>cytospiny</w:t>
      </w:r>
      <w:proofErr w:type="spellEnd"/>
      <w:r w:rsidRPr="007207FF">
        <w:rPr>
          <w:rFonts w:ascii="Bookman Old Style" w:hAnsi="Bookman Old Style" w:cs="Times New Roman"/>
        </w:rPr>
        <w:t xml:space="preserve">, </w:t>
      </w:r>
      <w:proofErr w:type="spellStart"/>
      <w:r w:rsidRPr="007207FF">
        <w:rPr>
          <w:rFonts w:ascii="Bookman Old Style" w:hAnsi="Bookman Old Style" w:cs="Times New Roman"/>
        </w:rPr>
        <w:t>bioptaty</w:t>
      </w:r>
      <w:proofErr w:type="spellEnd"/>
      <w:r w:rsidRPr="007207FF">
        <w:rPr>
          <w:rFonts w:ascii="Bookman Old Style" w:hAnsi="Bookman Old Style" w:cs="Times New Roman"/>
        </w:rPr>
        <w:t>.</w:t>
      </w:r>
    </w:p>
    <w:p w:rsidR="00C61BC4" w:rsidRPr="007207FF" w:rsidRDefault="00C61BC4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Aparat zabezpieczający tkankę przed wyschnięciem na każdym etapie barwienia.</w:t>
      </w:r>
    </w:p>
    <w:p w:rsidR="008664AA" w:rsidRPr="007207FF" w:rsidRDefault="008664AA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Możliwość przywrócenia barwienia na tym samym szkiełku w przypadku nagłego zatrzymania pracy urządzenia </w:t>
      </w:r>
      <w:r w:rsidR="00FF2A2D" w:rsidRPr="007207FF">
        <w:rPr>
          <w:rFonts w:ascii="Bookman Old Style" w:hAnsi="Bookman Old Style" w:cs="Times New Roman"/>
        </w:rPr>
        <w:t xml:space="preserve"> i</w:t>
      </w:r>
      <w:r w:rsidRPr="007207FF">
        <w:rPr>
          <w:rFonts w:ascii="Bookman Old Style" w:hAnsi="Bookman Old Style" w:cs="Times New Roman"/>
        </w:rPr>
        <w:t xml:space="preserve"> wyposażenie urządzenia w system UPS</w:t>
      </w:r>
      <w:r w:rsidR="00FF2A2D" w:rsidRPr="007207FF">
        <w:rPr>
          <w:rFonts w:ascii="Bookman Old Style" w:hAnsi="Bookman Old Style" w:cs="Times New Roman"/>
        </w:rPr>
        <w:t xml:space="preserve"> (</w:t>
      </w:r>
      <w:r w:rsidRPr="007207FF">
        <w:rPr>
          <w:rFonts w:ascii="Bookman Old Style" w:hAnsi="Bookman Old Style" w:cs="Times New Roman"/>
        </w:rPr>
        <w:t>wymagane podanie czasu podtrzymania barwienia</w:t>
      </w:r>
      <w:r w:rsidR="00FF2A2D" w:rsidRPr="007207FF">
        <w:rPr>
          <w:rFonts w:ascii="Bookman Old Style" w:hAnsi="Bookman Old Style" w:cs="Times New Roman"/>
        </w:rPr>
        <w:t>)</w:t>
      </w:r>
      <w:r w:rsidRPr="007207FF">
        <w:rPr>
          <w:rFonts w:ascii="Bookman Old Style" w:hAnsi="Bookman Old Style" w:cs="Times New Roman"/>
        </w:rPr>
        <w:t>.</w:t>
      </w:r>
    </w:p>
    <w:p w:rsidR="00C61BC4" w:rsidRPr="007207FF" w:rsidRDefault="00C61BC4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Opcja zaprogramowania aparatu na „opóźniony start”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Możliwość stosowania więcej niż jednego protokołu barwienia w jednym cyklu pracy.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System detekcyjny musi eliminować artefakty spowodowane endogenną biotyną.</w:t>
      </w:r>
    </w:p>
    <w:p w:rsidR="00FC3DDC" w:rsidRPr="007207FF" w:rsidRDefault="00FC3DDC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Temperatura operacji – </w:t>
      </w:r>
      <w:r w:rsidR="00752DB7" w:rsidRPr="007207FF">
        <w:rPr>
          <w:rFonts w:ascii="Bookman Old Style" w:hAnsi="Bookman Old Style" w:cs="Times New Roman"/>
        </w:rPr>
        <w:t>pokojowa lub z możliwością</w:t>
      </w:r>
      <w:r w:rsidRPr="007207FF">
        <w:rPr>
          <w:rFonts w:ascii="Bookman Old Style" w:hAnsi="Bookman Old Style" w:cs="Times New Roman"/>
        </w:rPr>
        <w:t xml:space="preserve"> ustawienia odpowiedniej temperatury inkubacji dla każdego szkiełka/przeciwciała. W pomieszczeniu pracy Aparatu brak klimatyzacji – w przypadku konieczności jej zastosowania Wykonawca jest zobowiązany do jej montażu w porozumieniu z zamawiającym.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Wykonawca zapewni optymalizację protokołów barwienia na tkankach o wysokiej i niskiej ekspresji antygenów.</w:t>
      </w:r>
    </w:p>
    <w:p w:rsidR="00C415D2" w:rsidRPr="007207FF" w:rsidRDefault="00051FE7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Aparat dozujący jednolitą ilość przeciwciała</w:t>
      </w:r>
      <w:r w:rsidR="00750558" w:rsidRPr="007207FF">
        <w:rPr>
          <w:rFonts w:ascii="Bookman Old Style" w:hAnsi="Bookman Old Style" w:cs="Times New Roman"/>
        </w:rPr>
        <w:t xml:space="preserve"> niezależnie od  wielkości badanego materiału i umiejscowienia na szkiełku, bez konieczności programowania miejsca.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lastRenderedPageBreak/>
        <w:t>Możliwość wykorzystania pierwotnych przeciwciał i systemów detekcji różnych producentów – otwarty układ pracy dla przeciwciał i systemów detekcji.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proofErr w:type="spellStart"/>
      <w:r w:rsidRPr="007207FF">
        <w:rPr>
          <w:rFonts w:ascii="Bookman Old Style" w:hAnsi="Bookman Old Style" w:cs="Times New Roman"/>
        </w:rPr>
        <w:t>Barkodowy</w:t>
      </w:r>
      <w:proofErr w:type="spellEnd"/>
      <w:r w:rsidRPr="007207FF">
        <w:rPr>
          <w:rFonts w:ascii="Bookman Old Style" w:hAnsi="Bookman Old Style" w:cs="Times New Roman"/>
        </w:rPr>
        <w:t xml:space="preserve">, kreskowy lub </w:t>
      </w:r>
      <w:proofErr w:type="spellStart"/>
      <w:r w:rsidRPr="007207FF">
        <w:rPr>
          <w:rFonts w:ascii="Bookman Old Style" w:hAnsi="Bookman Old Style" w:cs="Times New Roman"/>
        </w:rPr>
        <w:t>czipowy</w:t>
      </w:r>
      <w:proofErr w:type="spellEnd"/>
      <w:r w:rsidRPr="007207FF">
        <w:rPr>
          <w:rFonts w:ascii="Bookman Old Style" w:hAnsi="Bookman Old Style" w:cs="Times New Roman"/>
        </w:rPr>
        <w:t xml:space="preserve"> system identyfikacji odczynników i szkiełek.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Możliwość sprawdzenia w każdej chwili aktualnej objętości posiadanych odczynników i przeciwciał.</w:t>
      </w:r>
    </w:p>
    <w:p w:rsidR="00C415D2" w:rsidRPr="007207FF" w:rsidRDefault="00C415D2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Przedmiot zamówienia ma być dostarczony w opakowaniu producenta.</w:t>
      </w:r>
    </w:p>
    <w:p w:rsidR="00F058BA" w:rsidRPr="007207FF" w:rsidRDefault="00F058BA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 przypadku transportu i montażu –</w:t>
      </w:r>
      <w:r w:rsidRPr="007207FF">
        <w:rPr>
          <w:rFonts w:ascii="Bookman Old Style" w:hAnsi="Bookman Old Style" w:cs="Times New Roman"/>
          <w:b/>
          <w:u w:val="single"/>
        </w:rPr>
        <w:t xml:space="preserve"> należy uwzględnić fakt, iż szerokość drzwi prowadzących do pomieszczenia przewidzianego jako miejsce wykonywania badań IHC </w:t>
      </w:r>
      <w:r w:rsidR="00D01C5C" w:rsidRPr="007207FF">
        <w:rPr>
          <w:rFonts w:ascii="Bookman Old Style" w:hAnsi="Bookman Old Style" w:cs="Times New Roman"/>
          <w:b/>
          <w:u w:val="single"/>
        </w:rPr>
        <w:t>wynosi</w:t>
      </w:r>
      <w:r w:rsidR="007C6473" w:rsidRPr="007207FF">
        <w:rPr>
          <w:rFonts w:ascii="Bookman Old Style" w:hAnsi="Bookman Old Style" w:cs="Times New Roman"/>
          <w:b/>
          <w:u w:val="single"/>
        </w:rPr>
        <w:t xml:space="preserve"> 101 cm</w:t>
      </w:r>
      <w:r w:rsidRPr="007207FF">
        <w:rPr>
          <w:rFonts w:ascii="Bookman Old Style" w:hAnsi="Bookman Old Style" w:cs="Times New Roman"/>
          <w:b/>
          <w:u w:val="single"/>
        </w:rPr>
        <w:t xml:space="preserve"> a odległość otworu drzwiowego od przeciwległej ściany wynosi</w:t>
      </w:r>
      <w:r w:rsidR="007C6473" w:rsidRPr="007207FF">
        <w:rPr>
          <w:rFonts w:ascii="Bookman Old Style" w:hAnsi="Bookman Old Style" w:cs="Times New Roman"/>
          <w:b/>
          <w:u w:val="single"/>
        </w:rPr>
        <w:t xml:space="preserve"> 150 cm.</w:t>
      </w:r>
      <w:r w:rsidRPr="007207FF">
        <w:rPr>
          <w:rFonts w:ascii="Bookman Old Style" w:hAnsi="Bookman Old Style" w:cs="Times New Roman"/>
          <w:b/>
          <w:u w:val="single"/>
        </w:rPr>
        <w:t xml:space="preserve"> Szerokość drzwi</w:t>
      </w:r>
      <w:r w:rsidR="007C6473" w:rsidRPr="007207FF">
        <w:rPr>
          <w:rFonts w:ascii="Bookman Old Style" w:hAnsi="Bookman Old Style" w:cs="Times New Roman"/>
          <w:b/>
          <w:u w:val="single"/>
        </w:rPr>
        <w:t xml:space="preserve"> zewnętrznych wynosi 100 cm</w:t>
      </w:r>
      <w:r w:rsidRPr="007207FF">
        <w:rPr>
          <w:rFonts w:ascii="Bookman Old Style" w:hAnsi="Bookman Old Style" w:cs="Times New Roman"/>
          <w:b/>
          <w:u w:val="single"/>
        </w:rPr>
        <w:t>.</w:t>
      </w:r>
      <w:r w:rsidRPr="007207FF">
        <w:rPr>
          <w:rFonts w:ascii="Bookman Old Style" w:hAnsi="Bookman Old Style" w:cs="Times New Roman"/>
        </w:rPr>
        <w:t xml:space="preserve"> Brak możliwości składowania dużych ładunków. Sprzęt powinien być tak spakowany aby była możliwość bezkonfliktowego dostarczenia go na miejsce użytkowania lub dostawa w przypadku ładunku wielkogabarytowego była tak logistycznie rozwiązana by dostawa, rozpakowanie i montaż odbyły się tego samego dnia.</w:t>
      </w:r>
      <w:r w:rsidR="007C6473" w:rsidRPr="007207FF">
        <w:rPr>
          <w:rFonts w:ascii="Bookman Old Style" w:hAnsi="Bookman Old Style" w:cs="Times New Roman"/>
        </w:rPr>
        <w:t xml:space="preserve"> Brak możliwości składowania wymusza przechowywanie skrzyń transportowych przez Wykonawcę.</w:t>
      </w:r>
      <w:r w:rsidRPr="007207FF">
        <w:rPr>
          <w:rFonts w:ascii="Bookman Old Style" w:hAnsi="Bookman Old Style" w:cs="Times New Roman"/>
        </w:rPr>
        <w:t xml:space="preserve"> </w:t>
      </w:r>
    </w:p>
    <w:p w:rsidR="00647D7D" w:rsidRPr="007207FF" w:rsidRDefault="00647D7D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Sprzęt i oprogramowanie</w:t>
      </w:r>
      <w:r w:rsidR="00A7647D" w:rsidRPr="007207FF">
        <w:rPr>
          <w:rFonts w:ascii="Bookman Old Style" w:hAnsi="Bookman Old Style" w:cs="Times New Roman"/>
        </w:rPr>
        <w:t xml:space="preserve"> do obsługi informatycznej w zestawie.</w:t>
      </w:r>
    </w:p>
    <w:p w:rsidR="00396475" w:rsidRPr="007207FF" w:rsidRDefault="00396475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Instrukcja obsługi w zakresie eksploatacji i konserwacji oraz dokumentacja techniczna w języku polskim, założenie paszportu technicznego wraz z dostawą analizatora.</w:t>
      </w:r>
    </w:p>
    <w:p w:rsidR="00EF57AD" w:rsidRPr="007207FF" w:rsidRDefault="008664AA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SYSTEM IHC powinien być zaopatrzony w drukarkę kodów</w:t>
      </w:r>
      <w:r w:rsidR="003524D3" w:rsidRPr="007207FF">
        <w:rPr>
          <w:rFonts w:ascii="Bookman Old Style" w:hAnsi="Bookman Old Style" w:cs="Times New Roman"/>
        </w:rPr>
        <w:t>.</w:t>
      </w:r>
    </w:p>
    <w:p w:rsidR="00B01BC3" w:rsidRPr="007207FF" w:rsidRDefault="00B01BC3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Niezależna zewnętrzna kontrola jakości dla SYSTEMU IHC  polegająca na:</w:t>
      </w:r>
    </w:p>
    <w:p w:rsidR="00B01BC3" w:rsidRPr="007207FF" w:rsidRDefault="00B01BC3" w:rsidP="007207FF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uczestnictwie w testach weryfikujących jakość barwień laboratorium</w:t>
      </w:r>
    </w:p>
    <w:p w:rsidR="00B01BC3" w:rsidRPr="007207FF" w:rsidRDefault="00B01BC3" w:rsidP="007207FF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poradnictwie w zakresie wyboru przeciwciał i ustawiania protokołów diagnostycznych</w:t>
      </w:r>
    </w:p>
    <w:p w:rsidR="00B01BC3" w:rsidRPr="007207FF" w:rsidRDefault="00B01BC3" w:rsidP="007207FF">
      <w:pPr>
        <w:numPr>
          <w:ilvl w:val="0"/>
          <w:numId w:val="3"/>
        </w:numPr>
        <w:tabs>
          <w:tab w:val="left" w:pos="1800"/>
        </w:tabs>
        <w:suppressAutoHyphens/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zapewniony proces logistyczny, </w:t>
      </w:r>
      <w:r w:rsidRPr="007207FF">
        <w:rPr>
          <w:rFonts w:ascii="Bookman Old Style" w:hAnsi="Bookman Old Style" w:cs="Times New Roman"/>
          <w:b/>
        </w:rPr>
        <w:t>100% pokrycie wszystkich faktycznych kosztów związanych z kontrolą.</w:t>
      </w:r>
    </w:p>
    <w:p w:rsidR="00895E7C" w:rsidRPr="007207FF" w:rsidRDefault="00895E7C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Dostarczenie karty charakterystyk substancji niebezpiecznych</w:t>
      </w:r>
      <w:r w:rsidR="00A35861" w:rsidRPr="007207FF">
        <w:rPr>
          <w:rFonts w:ascii="Bookman Old Style" w:hAnsi="Bookman Old Style" w:cs="Times New Roman"/>
        </w:rPr>
        <w:t xml:space="preserve"> </w:t>
      </w:r>
      <w:r w:rsidR="00A35861" w:rsidRPr="007207FF">
        <w:rPr>
          <w:rFonts w:ascii="Bookman Old Style" w:hAnsi="Bookman Old Style" w:cs="Times New Roman"/>
          <w:b/>
        </w:rPr>
        <w:t>(załącznik do umowy).</w:t>
      </w:r>
    </w:p>
    <w:p w:rsidR="008E1E51" w:rsidRPr="007207FF" w:rsidRDefault="00C4606D" w:rsidP="007207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Firma powinna zapewnić</w:t>
      </w:r>
      <w:r w:rsidRPr="007207FF">
        <w:rPr>
          <w:rFonts w:ascii="Bookman Old Style" w:hAnsi="Bookman Old Style" w:cs="Times New Roman"/>
          <w:b/>
          <w:u w:val="single"/>
        </w:rPr>
        <w:t xml:space="preserve"> szkolenie personelu</w:t>
      </w:r>
      <w:r w:rsidR="00A35861" w:rsidRPr="007207FF">
        <w:rPr>
          <w:rFonts w:ascii="Bookman Old Style" w:hAnsi="Bookman Old Style" w:cs="Times New Roman"/>
          <w:b/>
          <w:u w:val="single"/>
        </w:rPr>
        <w:t xml:space="preserve"> (do 5 osób) </w:t>
      </w:r>
      <w:r w:rsidRPr="007207FF">
        <w:rPr>
          <w:rFonts w:ascii="Bookman Old Style" w:hAnsi="Bookman Old Style" w:cs="Times New Roman"/>
          <w:b/>
          <w:u w:val="single"/>
        </w:rPr>
        <w:t>potwierdzone certyfikatem.</w:t>
      </w:r>
    </w:p>
    <w:p w:rsidR="00E37990" w:rsidRPr="007207FF" w:rsidRDefault="008640E3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29.</w:t>
      </w:r>
      <w:r w:rsidRPr="007207FF">
        <w:rPr>
          <w:rFonts w:ascii="Bookman Old Style" w:hAnsi="Bookman Old Style" w:cs="Times New Roman"/>
        </w:rPr>
        <w:tab/>
      </w:r>
      <w:r w:rsidR="008E1E51" w:rsidRPr="007207FF">
        <w:rPr>
          <w:rFonts w:ascii="Bookman Old Style" w:hAnsi="Bookman Old Style" w:cs="Times New Roman"/>
        </w:rPr>
        <w:t xml:space="preserve">Wykonawca, w celu szkolenia personelu, dostarczy pakiet demo zawierający </w:t>
      </w:r>
      <w:r w:rsidR="00610B1E" w:rsidRPr="007207FF">
        <w:rPr>
          <w:rFonts w:ascii="Bookman Old Style" w:hAnsi="Bookman Old Style" w:cs="Times New Roman"/>
        </w:rPr>
        <w:t>2</w:t>
      </w:r>
      <w:r w:rsidR="008E1E51" w:rsidRPr="007207FF">
        <w:rPr>
          <w:rFonts w:ascii="Bookman Old Style" w:hAnsi="Bookman Old Style" w:cs="Times New Roman"/>
        </w:rPr>
        <w:t xml:space="preserve"> przeciwciał</w:t>
      </w:r>
      <w:r w:rsidR="00610B1E" w:rsidRPr="007207FF">
        <w:rPr>
          <w:rFonts w:ascii="Bookman Old Style" w:hAnsi="Bookman Old Style" w:cs="Times New Roman"/>
        </w:rPr>
        <w:t>a</w:t>
      </w:r>
      <w:r w:rsidR="008E1E51" w:rsidRPr="007207FF">
        <w:rPr>
          <w:rFonts w:ascii="Bookman Old Style" w:hAnsi="Bookman Old Style" w:cs="Times New Roman"/>
        </w:rPr>
        <w:t xml:space="preserve">, system detekcji, bufory i pozostałe akcesoria na wykonanie min. </w:t>
      </w:r>
      <w:r w:rsidR="00610B1E" w:rsidRPr="007207FF">
        <w:rPr>
          <w:rFonts w:ascii="Bookman Old Style" w:hAnsi="Bookman Old Style" w:cs="Times New Roman"/>
        </w:rPr>
        <w:t>1</w:t>
      </w:r>
      <w:r w:rsidR="008E1E51" w:rsidRPr="007207FF">
        <w:rPr>
          <w:rFonts w:ascii="Bookman Old Style" w:hAnsi="Bookman Old Style" w:cs="Times New Roman"/>
        </w:rPr>
        <w:t>0 barwień.</w:t>
      </w:r>
    </w:p>
    <w:p w:rsidR="009960B1" w:rsidRPr="007207FF" w:rsidRDefault="00A37056" w:rsidP="007207FF">
      <w:pPr>
        <w:pStyle w:val="Akapitzlist"/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lastRenderedPageBreak/>
        <w:t>30.</w:t>
      </w:r>
      <w:r w:rsidRPr="007207FF">
        <w:rPr>
          <w:rFonts w:ascii="Bookman Old Style" w:hAnsi="Bookman Old Style" w:cs="Times New Roman"/>
        </w:rPr>
        <w:tab/>
      </w:r>
      <w:r w:rsidR="009960B1" w:rsidRPr="007207FF">
        <w:rPr>
          <w:rFonts w:ascii="Bookman Old Style" w:hAnsi="Bookman Old Style" w:cs="Times New Roman"/>
        </w:rPr>
        <w:t>Dostarczony sprzęt obsługi informatycznej SYSTEMU IHC zaopatrzony we właściwe oprogramowanie, z gotowymi protokołami barwień pojedynczych i podwójnych, z możliwością tworzenia własnych protokołów barwień.</w:t>
      </w:r>
    </w:p>
    <w:p w:rsidR="00B01BC3" w:rsidRPr="007207FF" w:rsidRDefault="009960B1" w:rsidP="007207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Możliwość tworzenia raportów dziennych, miesięcznych i rocznych pracy urządzenia</w:t>
      </w:r>
      <w:r w:rsidR="00303D7B" w:rsidRPr="007207FF">
        <w:rPr>
          <w:rFonts w:ascii="Bookman Old Style" w:hAnsi="Bookman Old Style" w:cs="Times New Roman"/>
        </w:rPr>
        <w:t>.</w:t>
      </w:r>
    </w:p>
    <w:p w:rsidR="002E58B2" w:rsidRPr="007207FF" w:rsidRDefault="002E58B2" w:rsidP="007207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Zamawiający wymaga pełnej integracji urządzenia z posiadany</w:t>
      </w:r>
      <w:r w:rsidR="00C3408A" w:rsidRPr="007207FF">
        <w:rPr>
          <w:rFonts w:ascii="Bookman Old Style" w:hAnsi="Bookman Old Style" w:cs="Times New Roman"/>
        </w:rPr>
        <w:t>m przez zamawiającego systemem L</w:t>
      </w:r>
      <w:r w:rsidRPr="007207FF">
        <w:rPr>
          <w:rFonts w:ascii="Bookman Old Style" w:hAnsi="Bookman Old Style" w:cs="Times New Roman"/>
        </w:rPr>
        <w:t>IS</w:t>
      </w:r>
    </w:p>
    <w:p w:rsidR="009960B1" w:rsidRPr="007207FF" w:rsidRDefault="009960B1" w:rsidP="007207F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Sprzęt zaopatrzony w drukar</w:t>
      </w:r>
      <w:r w:rsidR="008664AA" w:rsidRPr="007207FF">
        <w:rPr>
          <w:rFonts w:ascii="Bookman Old Style" w:hAnsi="Bookman Old Style" w:cs="Times New Roman"/>
        </w:rPr>
        <w:t xml:space="preserve">kę (laserowa lub atramentowa) z taką ilością tuszu/tonera, która zapewni </w:t>
      </w:r>
      <w:r w:rsidR="00C3408A" w:rsidRPr="007207FF">
        <w:rPr>
          <w:rFonts w:ascii="Bookman Old Style" w:hAnsi="Bookman Old Style" w:cs="Times New Roman"/>
        </w:rPr>
        <w:t xml:space="preserve">druk </w:t>
      </w:r>
      <w:r w:rsidR="005B6D59" w:rsidRPr="007207FF">
        <w:rPr>
          <w:rFonts w:ascii="Bookman Old Style" w:hAnsi="Bookman Old Style" w:cs="Times New Roman"/>
        </w:rPr>
        <w:t>5</w:t>
      </w:r>
      <w:r w:rsidR="00C3408A" w:rsidRPr="007207FF">
        <w:rPr>
          <w:rFonts w:ascii="Bookman Old Style" w:hAnsi="Bookman Old Style" w:cs="Times New Roman"/>
        </w:rPr>
        <w:t>00 stron raportów.</w:t>
      </w:r>
    </w:p>
    <w:p w:rsidR="00E14B61" w:rsidRPr="007207FF" w:rsidRDefault="00E14B61" w:rsidP="007207FF">
      <w:pPr>
        <w:pStyle w:val="Akapitzlist"/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</w:p>
    <w:p w:rsidR="008664AA" w:rsidRPr="007207FF" w:rsidRDefault="003524D3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  <w:b/>
          <w:u w:val="single"/>
        </w:rPr>
      </w:pPr>
      <w:r w:rsidRPr="007207FF">
        <w:rPr>
          <w:rFonts w:ascii="Bookman Old Style" w:hAnsi="Bookman Old Style" w:cs="Times New Roman"/>
          <w:b/>
          <w:u w:val="single"/>
        </w:rPr>
        <w:t>Materiały eksploatacyjne</w:t>
      </w:r>
      <w:r w:rsidR="00E14B61" w:rsidRPr="007207FF">
        <w:rPr>
          <w:rFonts w:ascii="Bookman Old Style" w:hAnsi="Bookman Old Style" w:cs="Times New Roman"/>
          <w:b/>
          <w:u w:val="single"/>
        </w:rPr>
        <w:t xml:space="preserve"> do drukarek</w:t>
      </w:r>
      <w:r w:rsidRPr="007207FF">
        <w:rPr>
          <w:rFonts w:ascii="Bookman Old Style" w:hAnsi="Bookman Old Style" w:cs="Times New Roman"/>
          <w:b/>
          <w:u w:val="single"/>
        </w:rPr>
        <w:t>:</w:t>
      </w:r>
    </w:p>
    <w:p w:rsidR="003524D3" w:rsidRPr="007207FF" w:rsidRDefault="003524D3" w:rsidP="007207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Naklejki na szkiełka podstawowe do drukarki kodów w takiej liczbie opakowań aby można było okleić 30000 preparatów IHC.</w:t>
      </w:r>
    </w:p>
    <w:p w:rsidR="003524D3" w:rsidRPr="007207FF" w:rsidRDefault="00F15F67" w:rsidP="007207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Taśma do drukarki kodów w takiej liczbie opakowań aby można było wydrukować 30000 naklejek na szkiełka IHC.</w:t>
      </w:r>
    </w:p>
    <w:p w:rsidR="00ED7102" w:rsidRPr="007207FF" w:rsidRDefault="00ED7102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ED7102" w:rsidRPr="007207FF" w:rsidRDefault="00ED7102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  <w:b/>
          <w:u w:val="single"/>
        </w:rPr>
      </w:pPr>
      <w:r w:rsidRPr="007207FF">
        <w:rPr>
          <w:rFonts w:ascii="Bookman Old Style" w:hAnsi="Bookman Old Style" w:cs="Times New Roman"/>
          <w:b/>
          <w:u w:val="single"/>
        </w:rPr>
        <w:t>Mikroskop:</w:t>
      </w:r>
    </w:p>
    <w:p w:rsidR="00ED7102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Mikroskop laboratoryjny z transformatorem sieciowym umieszczonym poza </w:t>
      </w:r>
      <w:r w:rsidR="00E81022" w:rsidRPr="007207FF">
        <w:rPr>
          <w:rFonts w:ascii="Bookman Old Style" w:hAnsi="Bookman Old Style" w:cs="Times New Roman"/>
        </w:rPr>
        <w:t xml:space="preserve">lub w </w:t>
      </w:r>
      <w:r w:rsidRPr="007207FF">
        <w:rPr>
          <w:rFonts w:ascii="Bookman Old Style" w:hAnsi="Bookman Old Style" w:cs="Times New Roman"/>
        </w:rPr>
        <w:t>statyw</w:t>
      </w:r>
      <w:r w:rsidR="00E81022" w:rsidRPr="007207FF">
        <w:rPr>
          <w:rFonts w:ascii="Bookman Old Style" w:hAnsi="Bookman Old Style" w:cs="Times New Roman"/>
        </w:rPr>
        <w:t>i</w:t>
      </w:r>
      <w:r w:rsidRPr="007207FF">
        <w:rPr>
          <w:rFonts w:ascii="Bookman Old Style" w:hAnsi="Bookman Old Style" w:cs="Times New Roman"/>
        </w:rPr>
        <w:t>e.</w:t>
      </w:r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Statyw optyczny korygowany do nieskończoności.</w:t>
      </w:r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Powiększenie całkowite od 40x do 400x</w:t>
      </w:r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Tubus okularowy z możliwością regulowania osłonami i korekcją </w:t>
      </w:r>
      <w:proofErr w:type="spellStart"/>
      <w:r w:rsidRPr="007207FF">
        <w:rPr>
          <w:rFonts w:ascii="Bookman Old Style" w:hAnsi="Bookman Old Style" w:cs="Times New Roman"/>
        </w:rPr>
        <w:t>dioptryjną</w:t>
      </w:r>
      <w:proofErr w:type="spellEnd"/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Rewolwer na cztery obiektywy 4x (lub 5x), 10x, 20x, 40x</w:t>
      </w:r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Oświetlenie modułowe z systemem łatwej wymiany żarówek, halogenowe.</w:t>
      </w:r>
    </w:p>
    <w:p w:rsidR="001A6979" w:rsidRPr="007207FF" w:rsidRDefault="00E81022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</w:t>
      </w:r>
      <w:r w:rsidR="001A6979" w:rsidRPr="007207FF">
        <w:rPr>
          <w:rFonts w:ascii="Bookman Old Style" w:hAnsi="Bookman Old Style" w:cs="Times New Roman"/>
        </w:rPr>
        <w:t>skaźnik ustawienia natężenia oświetlenia</w:t>
      </w:r>
    </w:p>
    <w:p w:rsidR="001A6979" w:rsidRPr="007207FF" w:rsidRDefault="001A6979" w:rsidP="007207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Precyzyjny mechanizm przesuwu preparatu z zakresem pracy 75 mm x 30 mm. (szerokość x długość).</w:t>
      </w:r>
    </w:p>
    <w:p w:rsidR="00CC6B16" w:rsidRPr="007207FF" w:rsidRDefault="00CC6B16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497501" w:rsidRPr="007207FF" w:rsidRDefault="00E40BD5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  <w:b/>
          <w:u w:val="single"/>
        </w:rPr>
      </w:pPr>
      <w:r w:rsidRPr="007207FF">
        <w:rPr>
          <w:rFonts w:ascii="Bookman Old Style" w:hAnsi="Bookman Old Style" w:cs="Times New Roman"/>
          <w:b/>
          <w:u w:val="single"/>
        </w:rPr>
        <w:t>System do wizualizacji i przeciwciała:</w:t>
      </w:r>
    </w:p>
    <w:p w:rsidR="00792641" w:rsidRPr="007207FF" w:rsidRDefault="00C37306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Dostarczone odczynniki i materiały (przeciwciała, system wizualizacyjny, bufory) powinny być tak skalk</w:t>
      </w:r>
      <w:r w:rsidR="0090415C" w:rsidRPr="007207FF">
        <w:rPr>
          <w:rFonts w:ascii="Bookman Old Style" w:hAnsi="Bookman Old Style" w:cs="Times New Roman"/>
        </w:rPr>
        <w:t>ulowane aby można było wykonać 2</w:t>
      </w:r>
      <w:r w:rsidR="005B6D59" w:rsidRPr="007207FF">
        <w:rPr>
          <w:rFonts w:ascii="Bookman Old Style" w:hAnsi="Bookman Old Style" w:cs="Times New Roman"/>
        </w:rPr>
        <w:t>8</w:t>
      </w:r>
      <w:r w:rsidR="00CC6B16" w:rsidRPr="007207FF">
        <w:rPr>
          <w:rFonts w:ascii="Bookman Old Style" w:hAnsi="Bookman Old Style" w:cs="Times New Roman"/>
        </w:rPr>
        <w:t xml:space="preserve"> </w:t>
      </w:r>
      <w:r w:rsidR="00700DD1" w:rsidRPr="007207FF">
        <w:rPr>
          <w:rFonts w:ascii="Bookman Old Style" w:hAnsi="Bookman Old Style" w:cs="Times New Roman"/>
        </w:rPr>
        <w:t>0</w:t>
      </w:r>
      <w:r w:rsidRPr="007207FF">
        <w:rPr>
          <w:rFonts w:ascii="Bookman Old Style" w:hAnsi="Bookman Old Style" w:cs="Times New Roman"/>
        </w:rPr>
        <w:t>00 oznaczeń w czasie trwania umowy bez względu na umiejscowienie i wielkość skrawka badanego materiału</w:t>
      </w:r>
      <w:r w:rsidR="00792641" w:rsidRPr="007207FF">
        <w:rPr>
          <w:rFonts w:ascii="Bookman Old Style" w:hAnsi="Bookman Old Style" w:cs="Times New Roman"/>
        </w:rPr>
        <w:t>.</w:t>
      </w:r>
    </w:p>
    <w:p w:rsidR="00C37306" w:rsidRPr="007207FF" w:rsidRDefault="00C37306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 Kalkulacja ilości zużycia przeciwciał powinno uwzględniać tzw. </w:t>
      </w:r>
      <w:r w:rsidR="00D91A69" w:rsidRPr="007207FF">
        <w:rPr>
          <w:rFonts w:ascii="Bookman Old Style" w:hAnsi="Bookman Old Style" w:cs="Times New Roman"/>
        </w:rPr>
        <w:t>m</w:t>
      </w:r>
      <w:r w:rsidRPr="007207FF">
        <w:rPr>
          <w:rFonts w:ascii="Bookman Old Style" w:hAnsi="Bookman Old Style" w:cs="Times New Roman"/>
        </w:rPr>
        <w:t>artwa strefę (obszar opakowania zawierających odczynnik/przeciwciało niewykorzystane przez aparat) w dostarczonych opakowaniach.</w:t>
      </w:r>
    </w:p>
    <w:p w:rsidR="00C37306" w:rsidRPr="007207FF" w:rsidRDefault="00C37306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lastRenderedPageBreak/>
        <w:t xml:space="preserve">Zestaw do wizualizacji będzie zawierał (lub będzie rozszerzony) </w:t>
      </w:r>
      <w:r w:rsidR="00DC74FC" w:rsidRPr="007207FF">
        <w:rPr>
          <w:rFonts w:ascii="Bookman Old Style" w:hAnsi="Bookman Old Style" w:cs="Times New Roman"/>
        </w:rPr>
        <w:t>szkiełka dostosowane do barwień IHC</w:t>
      </w:r>
      <w:r w:rsidRPr="007207FF">
        <w:rPr>
          <w:rFonts w:ascii="Bookman Old Style" w:hAnsi="Bookman Old Style" w:cs="Times New Roman"/>
        </w:rPr>
        <w:t xml:space="preserve">  </w:t>
      </w:r>
      <w:r w:rsidR="00DC74FC" w:rsidRPr="007207FF">
        <w:rPr>
          <w:rFonts w:ascii="Bookman Old Style" w:hAnsi="Bookman Old Style" w:cs="Times New Roman"/>
        </w:rPr>
        <w:t>(szkiełka zapobiegające spływaniu prep</w:t>
      </w:r>
      <w:r w:rsidR="00C8637C" w:rsidRPr="007207FF">
        <w:rPr>
          <w:rFonts w:ascii="Bookman Old Style" w:hAnsi="Bookman Old Style" w:cs="Times New Roman"/>
        </w:rPr>
        <w:t>aratów podczas obróbki ciepl</w:t>
      </w:r>
      <w:r w:rsidR="0007591E" w:rsidRPr="007207FF">
        <w:rPr>
          <w:rFonts w:ascii="Bookman Old Style" w:hAnsi="Bookman Old Style" w:cs="Times New Roman"/>
        </w:rPr>
        <w:t>n</w:t>
      </w:r>
      <w:r w:rsidR="00C8637C" w:rsidRPr="007207FF">
        <w:rPr>
          <w:rFonts w:ascii="Bookman Old Style" w:hAnsi="Bookman Old Style" w:cs="Times New Roman"/>
        </w:rPr>
        <w:t xml:space="preserve">ej) w ilości wystarczającej do wykonania </w:t>
      </w:r>
      <w:r w:rsidR="0090415C" w:rsidRPr="007207FF">
        <w:rPr>
          <w:rFonts w:ascii="Bookman Old Style" w:hAnsi="Bookman Old Style" w:cs="Times New Roman"/>
        </w:rPr>
        <w:t>2</w:t>
      </w:r>
      <w:r w:rsidR="005B6D59" w:rsidRPr="007207FF">
        <w:rPr>
          <w:rFonts w:ascii="Bookman Old Style" w:hAnsi="Bookman Old Style" w:cs="Times New Roman"/>
        </w:rPr>
        <w:t>8</w:t>
      </w:r>
      <w:bookmarkStart w:id="0" w:name="_GoBack"/>
      <w:bookmarkEnd w:id="0"/>
      <w:r w:rsidR="00C8637C" w:rsidRPr="007207FF">
        <w:rPr>
          <w:rFonts w:ascii="Bookman Old Style" w:hAnsi="Bookman Old Style" w:cs="Times New Roman"/>
        </w:rPr>
        <w:t> </w:t>
      </w:r>
      <w:r w:rsidR="00FE5F51" w:rsidRPr="007207FF">
        <w:rPr>
          <w:rFonts w:ascii="Bookman Old Style" w:hAnsi="Bookman Old Style" w:cs="Times New Roman"/>
        </w:rPr>
        <w:t>0</w:t>
      </w:r>
      <w:r w:rsidR="00C8637C" w:rsidRPr="007207FF">
        <w:rPr>
          <w:rFonts w:ascii="Bookman Old Style" w:hAnsi="Bookman Old Style" w:cs="Times New Roman"/>
        </w:rPr>
        <w:t>00 oznaczeń.</w:t>
      </w:r>
    </w:p>
    <w:p w:rsidR="00C8637C" w:rsidRPr="007207FF" w:rsidRDefault="00D91A69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 xml:space="preserve">Termin ważności zamawianych odczynników – </w:t>
      </w:r>
      <w:r w:rsidRPr="007207FF">
        <w:rPr>
          <w:rFonts w:ascii="Bookman Old Style" w:hAnsi="Bookman Old Style" w:cs="Times New Roman"/>
          <w:b/>
          <w:u w:val="single"/>
        </w:rPr>
        <w:t>co najmniej rok od daty dostawy.</w:t>
      </w:r>
    </w:p>
    <w:p w:rsidR="00D91A69" w:rsidRPr="007207FF" w:rsidRDefault="00D91A69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Każdy z odczynników winien być opatrzony certyfikatem zezwalającym na stosowanie w diagnostyce oraz zaopatrzony w ulotkę w języku polskim (z danymi o odkrywaniu antygenu, zakres rozcieńczeń, dane o lokalizacji antygenu</w:t>
      </w:r>
      <w:r w:rsidR="0074653F" w:rsidRPr="007207FF">
        <w:rPr>
          <w:rFonts w:ascii="Bookman Old Style" w:hAnsi="Bookman Old Style" w:cs="Times New Roman"/>
        </w:rPr>
        <w:t xml:space="preserve"> w tkankach prawidłowych i patologicznych</w:t>
      </w:r>
      <w:r w:rsidRPr="007207FF">
        <w:rPr>
          <w:rFonts w:ascii="Bookman Old Style" w:hAnsi="Bookman Old Style" w:cs="Times New Roman"/>
        </w:rPr>
        <w:t>)</w:t>
      </w:r>
      <w:r w:rsidR="00FC29F6" w:rsidRPr="007207FF">
        <w:rPr>
          <w:rFonts w:ascii="Bookman Old Style" w:hAnsi="Bookman Old Style" w:cs="Times New Roman"/>
        </w:rPr>
        <w:t>.</w:t>
      </w:r>
    </w:p>
    <w:p w:rsidR="009451AD" w:rsidRPr="007207FF" w:rsidRDefault="009451AD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Dostarczenie kart charakterystyk substancji niebezpiecznych.</w:t>
      </w:r>
    </w:p>
    <w:p w:rsidR="00750558" w:rsidRPr="007207FF" w:rsidRDefault="00750558" w:rsidP="007207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Przeciwciała pierwotne w gotowych do użycia rozcieńczeniach w pojemnikach umożliwiających bezpośrednie ich użycie bez potrzeby przelewania (wyjątek przeciwciała innych firm – w przypadku braku we własnej ofercie</w:t>
      </w:r>
      <w:r w:rsidR="00723574" w:rsidRPr="007207FF">
        <w:rPr>
          <w:rFonts w:ascii="Bookman Old Style" w:hAnsi="Bookman Old Style" w:cs="Times New Roman"/>
        </w:rPr>
        <w:t>, dopuszcza się możliwość przelewania</w:t>
      </w:r>
      <w:r w:rsidRPr="007207FF">
        <w:rPr>
          <w:rFonts w:ascii="Bookman Old Style" w:hAnsi="Bookman Old Style" w:cs="Times New Roman"/>
        </w:rPr>
        <w:t>).</w:t>
      </w:r>
    </w:p>
    <w:p w:rsidR="0096076F" w:rsidRPr="007207FF" w:rsidRDefault="0096076F" w:rsidP="007207FF">
      <w:pPr>
        <w:pStyle w:val="Akapitzlist"/>
        <w:numPr>
          <w:ilvl w:val="0"/>
          <w:numId w:val="8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Wykonawca zaoferuje przeciwciała, których klony są pozytywnie zaopiniowane przez przynajmniej jeden z niezależnych ośrodków  kontroli jakości.</w:t>
      </w:r>
    </w:p>
    <w:p w:rsidR="0096076F" w:rsidRPr="007207FF" w:rsidRDefault="0096076F" w:rsidP="007207FF">
      <w:pPr>
        <w:pStyle w:val="Akapitzlist"/>
        <w:numPr>
          <w:ilvl w:val="0"/>
          <w:numId w:val="8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96076F" w:rsidRPr="007207FF" w:rsidRDefault="0096076F" w:rsidP="007207FF">
      <w:pPr>
        <w:pStyle w:val="Akapitzlist"/>
        <w:numPr>
          <w:ilvl w:val="0"/>
          <w:numId w:val="8"/>
        </w:numPr>
        <w:spacing w:before="0"/>
        <w:ind w:left="0" w:firstLine="0"/>
        <w:rPr>
          <w:rFonts w:ascii="Bookman Old Style" w:hAnsi="Bookman Old Style" w:cs="Times New Roman"/>
        </w:rPr>
      </w:pPr>
      <w:r w:rsidRPr="007207FF">
        <w:rPr>
          <w:rFonts w:ascii="Bookman Old Style" w:hAnsi="Bookman Old Style" w:cs="Times New Roman"/>
        </w:rPr>
        <w:t>W przypadku użycia przeciwciał/odczynników innych firm (nierozcieńczonych lub rozcieńczonych) dostarczenie pojemników umożliwiających własnoręczne dokonanie rozcieńczenia i przystosowanie ich do użycia w SYSTEMIE IHC.</w:t>
      </w:r>
    </w:p>
    <w:p w:rsidR="0074653F" w:rsidRDefault="0074653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Pr="007207FF" w:rsidRDefault="007207FF" w:rsidP="007207FF">
      <w:pPr>
        <w:autoSpaceDE w:val="0"/>
        <w:autoSpaceDN w:val="0"/>
        <w:adjustRightInd w:val="0"/>
        <w:spacing w:before="0"/>
        <w:ind w:firstLine="0"/>
        <w:rPr>
          <w:rFonts w:ascii="Bookman Old Style" w:hAnsi="Bookman Old Style" w:cs="Times New Roman"/>
        </w:rPr>
      </w:pPr>
    </w:p>
    <w:p w:rsidR="007207FF" w:rsidRDefault="007207FF" w:rsidP="007207FF">
      <w:pPr>
        <w:spacing w:before="0"/>
        <w:ind w:firstLine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Załącznik nr 1 cz 2</w:t>
      </w:r>
    </w:p>
    <w:p w:rsidR="007207FF" w:rsidRDefault="007207FF" w:rsidP="007207FF">
      <w:pPr>
        <w:spacing w:before="0"/>
        <w:ind w:firstLine="0"/>
        <w:rPr>
          <w:rFonts w:ascii="Bookman Old Style" w:hAnsi="Bookman Old Style"/>
          <w:b/>
          <w:u w:val="single"/>
        </w:rPr>
      </w:pPr>
    </w:p>
    <w:p w:rsidR="007207FF" w:rsidRPr="007207FF" w:rsidRDefault="007207FF" w:rsidP="007207FF">
      <w:pPr>
        <w:spacing w:before="0"/>
        <w:ind w:firstLine="0"/>
        <w:rPr>
          <w:rFonts w:ascii="Bookman Old Style" w:hAnsi="Bookman Old Style"/>
          <w:b/>
          <w:u w:val="single"/>
        </w:rPr>
      </w:pPr>
      <w:r w:rsidRPr="007207FF">
        <w:rPr>
          <w:rFonts w:ascii="Bookman Old Style" w:hAnsi="Bookman Old Style"/>
          <w:b/>
          <w:u w:val="single"/>
        </w:rPr>
        <w:t>Przeciwciała wymagane do badań</w:t>
      </w:r>
    </w:p>
    <w:p w:rsidR="007207FF" w:rsidRPr="007207FF" w:rsidRDefault="007207FF" w:rsidP="007207FF">
      <w:pPr>
        <w:pStyle w:val="Akapitzlist"/>
        <w:numPr>
          <w:ilvl w:val="0"/>
          <w:numId w:val="12"/>
        </w:numPr>
        <w:spacing w:before="0"/>
        <w:rPr>
          <w:rFonts w:ascii="Bookman Old Style" w:hAnsi="Bookman Old Style"/>
        </w:rPr>
      </w:pPr>
      <w:r w:rsidRPr="007207FF">
        <w:rPr>
          <w:rFonts w:ascii="Bookman Old Style" w:hAnsi="Bookman Old Style"/>
        </w:rPr>
        <w:t>Zamawiający  w momencie składania zamówienia będzie miał możliwość dokonania wyboru spośród wszystkich oferowanych przez Wykonawcę przeciwciał (minimum 150 pozycji) z tym, że na pewno dostępne będą przeciwciała podane poniżej:</w:t>
      </w:r>
    </w:p>
    <w:tbl>
      <w:tblPr>
        <w:tblStyle w:val="Tabela-Siatka"/>
        <w:tblW w:w="0" w:type="auto"/>
        <w:tblInd w:w="1429" w:type="dxa"/>
        <w:tblLook w:val="04A0"/>
      </w:tblPr>
      <w:tblGrid>
        <w:gridCol w:w="926"/>
        <w:gridCol w:w="6707"/>
      </w:tblGrid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CD1a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CD3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CD4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CD5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CD7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CD8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CD10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CD15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CD20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CD23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CD30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CD34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CD31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CD45 LCA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CD56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CD68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CD79a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CD99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19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CD117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  <w:lang w:val="en-US"/>
              </w:rPr>
            </w:pPr>
            <w:r w:rsidRPr="007207FF">
              <w:rPr>
                <w:rFonts w:ascii="Bookman Old Style" w:hAnsi="Bookman Old Style"/>
                <w:lang w:val="en-US"/>
              </w:rPr>
              <w:t xml:space="preserve">CD246, ALK Protein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Calcitonin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Thyreoglobulin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Cytokeratin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7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Cytokeratin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5/6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Cytokeratin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20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Cytokeratin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AE1/AE3 lub </w:t>
            </w:r>
            <w:proofErr w:type="spellStart"/>
            <w:r w:rsidRPr="007207FF">
              <w:rPr>
                <w:rFonts w:ascii="Bookman Old Style" w:hAnsi="Bookman Old Style"/>
              </w:rPr>
              <w:t>PanCK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Cyclin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D1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28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  <w:lang w:val="en-US"/>
              </w:rPr>
            </w:pPr>
            <w:r w:rsidRPr="007207FF">
              <w:rPr>
                <w:rFonts w:ascii="Bookman Old Style" w:hAnsi="Bookman Old Style"/>
                <w:lang w:val="en-US"/>
              </w:rPr>
              <w:t xml:space="preserve">EMA (epithelial membrane </w:t>
            </w:r>
            <w:proofErr w:type="spellStart"/>
            <w:r w:rsidRPr="007207FF">
              <w:rPr>
                <w:rFonts w:ascii="Bookman Old Style" w:hAnsi="Bookman Old Style"/>
                <w:lang w:val="en-US"/>
              </w:rPr>
              <w:t>antygen</w:t>
            </w:r>
            <w:proofErr w:type="spellEnd"/>
            <w:r w:rsidRPr="007207FF">
              <w:rPr>
                <w:rFonts w:ascii="Bookman Old Style" w:hAnsi="Bookman Old Style"/>
                <w:lang w:val="en-US"/>
              </w:rPr>
              <w:t>)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lastRenderedPageBreak/>
              <w:t>29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Vimentin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TTF-1 clone SPT24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p63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CDX2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Ki67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Synaptophysin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Chromogranin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A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Melan-A</w:t>
            </w:r>
            <w:proofErr w:type="spellEnd"/>
            <w:r w:rsidRPr="007207FF">
              <w:rPr>
                <w:rFonts w:ascii="Bookman Old Style" w:hAnsi="Bookman Old Style"/>
              </w:rPr>
              <w:t xml:space="preserve">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Mesothelin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Desmin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39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  <w:lang w:val="en-US"/>
              </w:rPr>
            </w:pPr>
            <w:r w:rsidRPr="007207FF">
              <w:rPr>
                <w:rFonts w:ascii="Bookman Old Style" w:hAnsi="Bookman Old Style"/>
                <w:lang w:val="en-US"/>
              </w:rPr>
              <w:t>SMA (smooth muscle action)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p53 clone DO-7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GCDFP-15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Estrogen Receptor α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Progesterone</w:t>
            </w:r>
            <w:proofErr w:type="spellEnd"/>
            <w:r w:rsidRPr="007207FF">
              <w:rPr>
                <w:rFonts w:ascii="Bookman Old Style" w:hAnsi="Bookman Old Style"/>
              </w:rPr>
              <w:t xml:space="preserve"> Receptor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Bcl-2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Bcl-6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  <w:lang w:val="en-US"/>
              </w:rPr>
            </w:pPr>
            <w:r w:rsidRPr="007207FF">
              <w:rPr>
                <w:rFonts w:ascii="Bookman Old Style" w:hAnsi="Bookman Old Style"/>
                <w:lang w:val="en-US"/>
              </w:rPr>
              <w:t>WT1 (</w:t>
            </w:r>
            <w:proofErr w:type="spellStart"/>
            <w:r w:rsidRPr="007207FF">
              <w:rPr>
                <w:rFonts w:ascii="Bookman Old Style" w:hAnsi="Bookman Old Style"/>
                <w:lang w:val="en-US"/>
              </w:rPr>
              <w:t>Wilm’s</w:t>
            </w:r>
            <w:proofErr w:type="spellEnd"/>
            <w:r w:rsidRPr="007207FF">
              <w:rPr>
                <w:rFonts w:ascii="Bookman Old Style" w:hAnsi="Bookman Old Style"/>
                <w:lang w:val="en-US"/>
              </w:rPr>
              <w:t xml:space="preserve"> Tumor 1 Protein)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MUM-1 Protein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S-100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49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AFP (</w:t>
            </w:r>
            <w:proofErr w:type="spellStart"/>
            <w:r w:rsidRPr="007207FF">
              <w:rPr>
                <w:rStyle w:val="Uwydatnienie"/>
                <w:rFonts w:ascii="Bookman Old Style" w:hAnsi="Bookman Old Style" w:cs="Times New Roman"/>
              </w:rPr>
              <w:t>Alpha</w:t>
            </w:r>
            <w:r w:rsidRPr="007207FF">
              <w:rPr>
                <w:rStyle w:val="ft"/>
                <w:rFonts w:ascii="Bookman Old Style" w:hAnsi="Bookman Old Style" w:cs="Times New Roman"/>
                <w:b/>
              </w:rPr>
              <w:t>-</w:t>
            </w:r>
            <w:r w:rsidRPr="007207FF">
              <w:rPr>
                <w:rStyle w:val="Uwydatnienie"/>
                <w:rFonts w:ascii="Bookman Old Style" w:hAnsi="Bookman Old Style" w:cs="Times New Roman"/>
              </w:rPr>
              <w:t>fetoprotein</w:t>
            </w:r>
            <w:proofErr w:type="spellEnd"/>
            <w:r w:rsidRPr="007207FF">
              <w:rPr>
                <w:rStyle w:val="Uwydatnienie"/>
                <w:rFonts w:ascii="Bookman Old Style" w:hAnsi="Bookman Old Style" w:cs="Times New Roman"/>
                <w:color w:val="444444"/>
              </w:rPr>
              <w:t>)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CEA (</w:t>
            </w:r>
            <w:proofErr w:type="spellStart"/>
            <w:r w:rsidRPr="007207FF">
              <w:rPr>
                <w:rFonts w:ascii="Bookman Old Style" w:hAnsi="Bookman Old Style"/>
              </w:rPr>
              <w:t>Carcinoembryonic</w:t>
            </w:r>
            <w:proofErr w:type="spellEnd"/>
            <w:r w:rsidRPr="007207FF">
              <w:rPr>
                <w:rFonts w:ascii="Bookman Old Style" w:hAnsi="Bookman Old Style"/>
              </w:rPr>
              <w:t xml:space="preserve"> antygen)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Epstein-Barr </w:t>
            </w:r>
            <w:proofErr w:type="spellStart"/>
            <w:r w:rsidRPr="007207FF">
              <w:rPr>
                <w:rFonts w:ascii="Bookman Old Style" w:hAnsi="Bookman Old Style"/>
              </w:rPr>
              <w:t>Virus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Calretinin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Kappa</w:t>
            </w:r>
            <w:proofErr w:type="spellEnd"/>
            <w:r w:rsidRPr="007207FF">
              <w:rPr>
                <w:rFonts w:ascii="Bookman Old Style" w:hAnsi="Bookman Old Style"/>
              </w:rPr>
              <w:t xml:space="preserve"> </w:t>
            </w:r>
            <w:proofErr w:type="spellStart"/>
            <w:r w:rsidRPr="007207FF">
              <w:rPr>
                <w:rFonts w:ascii="Bookman Old Style" w:hAnsi="Bookman Old Style"/>
              </w:rPr>
              <w:t>Light</w:t>
            </w:r>
            <w:proofErr w:type="spellEnd"/>
            <w:r w:rsidRPr="007207FF">
              <w:rPr>
                <w:rFonts w:ascii="Bookman Old Style" w:hAnsi="Bookman Old Style"/>
              </w:rPr>
              <w:t xml:space="preserve"> </w:t>
            </w:r>
            <w:proofErr w:type="spellStart"/>
            <w:r w:rsidRPr="007207FF">
              <w:rPr>
                <w:rFonts w:ascii="Bookman Old Style" w:hAnsi="Bookman Old Style"/>
              </w:rPr>
              <w:t>Chains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54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Lambda </w:t>
            </w:r>
            <w:proofErr w:type="spellStart"/>
            <w:r w:rsidRPr="007207FF">
              <w:rPr>
                <w:rFonts w:ascii="Bookman Old Style" w:hAnsi="Bookman Old Style"/>
              </w:rPr>
              <w:t>Light</w:t>
            </w:r>
            <w:proofErr w:type="spellEnd"/>
            <w:r w:rsidRPr="007207FF">
              <w:rPr>
                <w:rFonts w:ascii="Bookman Old Style" w:hAnsi="Bookman Old Style"/>
              </w:rPr>
              <w:t xml:space="preserve"> </w:t>
            </w:r>
            <w:proofErr w:type="spellStart"/>
            <w:r w:rsidRPr="007207FF">
              <w:rPr>
                <w:rFonts w:ascii="Bookman Old Style" w:hAnsi="Bookman Old Style"/>
              </w:rPr>
              <w:t>Chains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55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Myogenin</w:t>
            </w:r>
            <w:proofErr w:type="spellEnd"/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56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 xml:space="preserve">RCC 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Podoplanina</w:t>
            </w:r>
            <w:proofErr w:type="spellEnd"/>
            <w:r w:rsidRPr="007207FF">
              <w:rPr>
                <w:rFonts w:ascii="Bookman Old Style" w:hAnsi="Bookman Old Style"/>
              </w:rPr>
              <w:t xml:space="preserve"> , clone D2-40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Napsin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A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59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Cytokeratin</w:t>
            </w:r>
            <w:proofErr w:type="spellEnd"/>
            <w:r w:rsidRPr="007207FF">
              <w:rPr>
                <w:rFonts w:ascii="Bookman Old Style" w:hAnsi="Bookman Old Style"/>
              </w:rPr>
              <w:t xml:space="preserve"> HMW,  clone 34 βE12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60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P40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61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PSA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63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CD43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67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ERG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lastRenderedPageBreak/>
              <w:t>68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c-myc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70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AMACR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71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PAX8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72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Myo</w:t>
            </w:r>
            <w:proofErr w:type="spellEnd"/>
            <w:r w:rsidRPr="007207FF">
              <w:rPr>
                <w:rFonts w:ascii="Bookman Old Style" w:hAnsi="Bookman Old Style"/>
              </w:rPr>
              <w:t xml:space="preserve"> D1</w:t>
            </w:r>
          </w:p>
        </w:tc>
      </w:tr>
      <w:tr w:rsidR="007207FF" w:rsidRPr="007207FF" w:rsidTr="00A738D7">
        <w:tc>
          <w:tcPr>
            <w:tcW w:w="926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r w:rsidRPr="007207FF">
              <w:rPr>
                <w:rFonts w:ascii="Bookman Old Style" w:hAnsi="Bookman Old Style"/>
              </w:rPr>
              <w:t>73</w:t>
            </w:r>
          </w:p>
        </w:tc>
        <w:tc>
          <w:tcPr>
            <w:tcW w:w="6707" w:type="dxa"/>
          </w:tcPr>
          <w:p w:rsidR="007207FF" w:rsidRPr="007207FF" w:rsidRDefault="007207FF" w:rsidP="007207FF">
            <w:pPr>
              <w:pStyle w:val="Akapitzlist"/>
              <w:spacing w:line="360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7207FF">
              <w:rPr>
                <w:rFonts w:ascii="Bookman Old Style" w:hAnsi="Bookman Old Style"/>
              </w:rPr>
              <w:t>Beta-Catenin</w:t>
            </w:r>
            <w:proofErr w:type="spellEnd"/>
          </w:p>
        </w:tc>
      </w:tr>
    </w:tbl>
    <w:p w:rsidR="00397708" w:rsidRPr="007207FF" w:rsidRDefault="00397708" w:rsidP="007207FF">
      <w:pPr>
        <w:pStyle w:val="Akapitzlist"/>
        <w:autoSpaceDE w:val="0"/>
        <w:autoSpaceDN w:val="0"/>
        <w:adjustRightInd w:val="0"/>
        <w:spacing w:before="0"/>
        <w:ind w:left="0" w:firstLine="0"/>
        <w:rPr>
          <w:rFonts w:ascii="Bookman Old Style" w:hAnsi="Bookman Old Style" w:cs="Times New Roman"/>
        </w:rPr>
      </w:pPr>
    </w:p>
    <w:sectPr w:rsidR="00397708" w:rsidRPr="007207FF" w:rsidSect="007207F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0506BC"/>
    <w:multiLevelType w:val="hybridMultilevel"/>
    <w:tmpl w:val="088AD896"/>
    <w:lvl w:ilvl="0" w:tplc="109ECBA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D549F"/>
    <w:multiLevelType w:val="hybridMultilevel"/>
    <w:tmpl w:val="415E42B8"/>
    <w:lvl w:ilvl="0" w:tplc="BB263742">
      <w:start w:val="3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0F5F86"/>
    <w:multiLevelType w:val="hybridMultilevel"/>
    <w:tmpl w:val="611A9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4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51FE7"/>
    <w:rsid w:val="0006630C"/>
    <w:rsid w:val="0007591E"/>
    <w:rsid w:val="00156E2D"/>
    <w:rsid w:val="001639E0"/>
    <w:rsid w:val="00196794"/>
    <w:rsid w:val="001A09D6"/>
    <w:rsid w:val="001A6979"/>
    <w:rsid w:val="001B67D1"/>
    <w:rsid w:val="002025F6"/>
    <w:rsid w:val="002320B6"/>
    <w:rsid w:val="00233BEC"/>
    <w:rsid w:val="002460E8"/>
    <w:rsid w:val="00267CC1"/>
    <w:rsid w:val="00276066"/>
    <w:rsid w:val="002954BC"/>
    <w:rsid w:val="002B67FF"/>
    <w:rsid w:val="002D0E9B"/>
    <w:rsid w:val="002E58B2"/>
    <w:rsid w:val="002F2A98"/>
    <w:rsid w:val="002F7F04"/>
    <w:rsid w:val="00303D7B"/>
    <w:rsid w:val="00305FAD"/>
    <w:rsid w:val="003524D3"/>
    <w:rsid w:val="00396475"/>
    <w:rsid w:val="00397708"/>
    <w:rsid w:val="003B2019"/>
    <w:rsid w:val="00401D13"/>
    <w:rsid w:val="00430034"/>
    <w:rsid w:val="00432B68"/>
    <w:rsid w:val="0044017D"/>
    <w:rsid w:val="004523C2"/>
    <w:rsid w:val="00485705"/>
    <w:rsid w:val="00497501"/>
    <w:rsid w:val="004A2834"/>
    <w:rsid w:val="004B0FCB"/>
    <w:rsid w:val="004C6930"/>
    <w:rsid w:val="004D45B8"/>
    <w:rsid w:val="004F1890"/>
    <w:rsid w:val="005202F7"/>
    <w:rsid w:val="005612A7"/>
    <w:rsid w:val="005704C3"/>
    <w:rsid w:val="00575AC5"/>
    <w:rsid w:val="005B6D59"/>
    <w:rsid w:val="005C1561"/>
    <w:rsid w:val="00610B1E"/>
    <w:rsid w:val="00621804"/>
    <w:rsid w:val="00632084"/>
    <w:rsid w:val="00634BC7"/>
    <w:rsid w:val="00647D7D"/>
    <w:rsid w:val="00657A01"/>
    <w:rsid w:val="006603BC"/>
    <w:rsid w:val="00667189"/>
    <w:rsid w:val="006B0551"/>
    <w:rsid w:val="006B2278"/>
    <w:rsid w:val="006B5B38"/>
    <w:rsid w:val="00700DD1"/>
    <w:rsid w:val="007207FF"/>
    <w:rsid w:val="00723574"/>
    <w:rsid w:val="00745D51"/>
    <w:rsid w:val="00745EAA"/>
    <w:rsid w:val="0074653F"/>
    <w:rsid w:val="00750558"/>
    <w:rsid w:val="0075282D"/>
    <w:rsid w:val="00752DB7"/>
    <w:rsid w:val="00784FDA"/>
    <w:rsid w:val="00792641"/>
    <w:rsid w:val="007C6473"/>
    <w:rsid w:val="007D47E8"/>
    <w:rsid w:val="007F2EAF"/>
    <w:rsid w:val="008331EA"/>
    <w:rsid w:val="008350AD"/>
    <w:rsid w:val="008640E3"/>
    <w:rsid w:val="008664AA"/>
    <w:rsid w:val="00895E7C"/>
    <w:rsid w:val="008B63FD"/>
    <w:rsid w:val="008D4090"/>
    <w:rsid w:val="008E1E51"/>
    <w:rsid w:val="0090415C"/>
    <w:rsid w:val="009050B8"/>
    <w:rsid w:val="00905313"/>
    <w:rsid w:val="00911D9B"/>
    <w:rsid w:val="00933BD8"/>
    <w:rsid w:val="009451AD"/>
    <w:rsid w:val="0096076F"/>
    <w:rsid w:val="0096784F"/>
    <w:rsid w:val="00974BD3"/>
    <w:rsid w:val="009926DE"/>
    <w:rsid w:val="009960B1"/>
    <w:rsid w:val="009A56E7"/>
    <w:rsid w:val="009A68DB"/>
    <w:rsid w:val="009D09D6"/>
    <w:rsid w:val="00A1175C"/>
    <w:rsid w:val="00A35861"/>
    <w:rsid w:val="00A37056"/>
    <w:rsid w:val="00A53C41"/>
    <w:rsid w:val="00A54EEF"/>
    <w:rsid w:val="00A744E3"/>
    <w:rsid w:val="00A7647D"/>
    <w:rsid w:val="00AA05CD"/>
    <w:rsid w:val="00AA1D40"/>
    <w:rsid w:val="00B01BC3"/>
    <w:rsid w:val="00B400EA"/>
    <w:rsid w:val="00B532FC"/>
    <w:rsid w:val="00B9799F"/>
    <w:rsid w:val="00BF4F34"/>
    <w:rsid w:val="00C2339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A5B3F"/>
    <w:rsid w:val="00CB6363"/>
    <w:rsid w:val="00CC66B0"/>
    <w:rsid w:val="00CC6B16"/>
    <w:rsid w:val="00CE06E4"/>
    <w:rsid w:val="00D01C5C"/>
    <w:rsid w:val="00D052DB"/>
    <w:rsid w:val="00D06677"/>
    <w:rsid w:val="00D91A69"/>
    <w:rsid w:val="00DC74FC"/>
    <w:rsid w:val="00DD49F9"/>
    <w:rsid w:val="00DF27C2"/>
    <w:rsid w:val="00E14B61"/>
    <w:rsid w:val="00E37990"/>
    <w:rsid w:val="00E40BD5"/>
    <w:rsid w:val="00E61813"/>
    <w:rsid w:val="00E67A57"/>
    <w:rsid w:val="00E70ABB"/>
    <w:rsid w:val="00E81022"/>
    <w:rsid w:val="00E96DB0"/>
    <w:rsid w:val="00ED7102"/>
    <w:rsid w:val="00EF57AD"/>
    <w:rsid w:val="00F02BB4"/>
    <w:rsid w:val="00F058BA"/>
    <w:rsid w:val="00F11195"/>
    <w:rsid w:val="00F15F67"/>
    <w:rsid w:val="00F41261"/>
    <w:rsid w:val="00FC29F6"/>
    <w:rsid w:val="00FC3DDC"/>
    <w:rsid w:val="00FD0B7D"/>
    <w:rsid w:val="00FD63C6"/>
    <w:rsid w:val="00FE39A0"/>
    <w:rsid w:val="00FE5F51"/>
    <w:rsid w:val="00FF2A2D"/>
    <w:rsid w:val="00FF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207F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7207FF"/>
    <w:rPr>
      <w:b/>
      <w:bCs/>
      <w:i w:val="0"/>
      <w:iCs w:val="0"/>
    </w:rPr>
  </w:style>
  <w:style w:type="character" w:customStyle="1" w:styleId="ft">
    <w:name w:val="ft"/>
    <w:basedOn w:val="Domylnaczcionkaakapitu"/>
    <w:rsid w:val="0072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2</cp:revision>
  <cp:lastPrinted>2017-11-16T12:42:00Z</cp:lastPrinted>
  <dcterms:created xsi:type="dcterms:W3CDTF">2017-11-16T13:42:00Z</dcterms:created>
  <dcterms:modified xsi:type="dcterms:W3CDTF">2017-11-16T13:42:00Z</dcterms:modified>
</cp:coreProperties>
</file>