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75" w:rsidRPr="00344075" w:rsidRDefault="00344075" w:rsidP="00344075">
      <w:pPr>
        <w:spacing w:line="360" w:lineRule="auto"/>
        <w:rPr>
          <w:rFonts w:ascii="Tahoma" w:hAnsi="Tahoma" w:cs="Tahoma"/>
          <w:b/>
          <w:szCs w:val="24"/>
          <w:lang w:val="pl-PL"/>
        </w:rPr>
      </w:pPr>
      <w:r w:rsidRPr="00344075">
        <w:rPr>
          <w:rFonts w:ascii="Tahoma" w:hAnsi="Tahoma" w:cs="Tahoma"/>
          <w:b/>
          <w:szCs w:val="24"/>
          <w:lang w:val="pl-PL"/>
        </w:rPr>
        <w:t>Załącznik nr 1</w:t>
      </w:r>
    </w:p>
    <w:p w:rsidR="00F13094" w:rsidRDefault="00F13094" w:rsidP="00344075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>Pakiet nr 1</w:t>
      </w:r>
    </w:p>
    <w:p w:rsidR="00344075" w:rsidRPr="00344075" w:rsidRDefault="00344075" w:rsidP="00344075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 xml:space="preserve">Pozycja 1 Pompa infuzyjna </w:t>
      </w:r>
      <w:proofErr w:type="spellStart"/>
      <w:r>
        <w:rPr>
          <w:rFonts w:ascii="Tahoma" w:hAnsi="Tahoma" w:cs="Tahoma"/>
          <w:b/>
          <w:szCs w:val="24"/>
          <w:lang w:val="pl-PL"/>
        </w:rPr>
        <w:t>strzykawkowa</w:t>
      </w:r>
      <w:proofErr w:type="spellEnd"/>
      <w:r w:rsidRPr="00344075">
        <w:rPr>
          <w:rFonts w:ascii="Tahoma" w:hAnsi="Tahoma" w:cs="Tahoma"/>
          <w:b/>
          <w:szCs w:val="24"/>
          <w:lang w:val="pl-PL"/>
        </w:rPr>
        <w:t xml:space="preserve"> </w:t>
      </w:r>
      <w:r>
        <w:rPr>
          <w:rFonts w:ascii="Tahoma" w:hAnsi="Tahoma" w:cs="Tahoma"/>
          <w:b/>
          <w:szCs w:val="24"/>
          <w:lang w:val="pl-PL"/>
        </w:rPr>
        <w:t xml:space="preserve">– </w:t>
      </w:r>
      <w:r w:rsidR="00D75BB7">
        <w:rPr>
          <w:rFonts w:ascii="Tahoma" w:hAnsi="Tahoma" w:cs="Tahoma"/>
          <w:b/>
          <w:szCs w:val="24"/>
          <w:lang w:val="pl-PL"/>
        </w:rPr>
        <w:t>60</w:t>
      </w:r>
      <w:r w:rsidRPr="00344075">
        <w:rPr>
          <w:rFonts w:ascii="Tahoma" w:hAnsi="Tahoma" w:cs="Tahoma"/>
          <w:b/>
          <w:szCs w:val="24"/>
          <w:lang w:val="pl-PL"/>
        </w:rPr>
        <w:t xml:space="preserve"> szt.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221"/>
      </w:tblGrid>
      <w:tr w:rsidR="007B45BB" w:rsidRPr="00D97EAA" w:rsidTr="00227B83">
        <w:trPr>
          <w:trHeight w:val="170"/>
        </w:trPr>
        <w:tc>
          <w:tcPr>
            <w:tcW w:w="851" w:type="dxa"/>
            <w:shd w:val="clear" w:color="auto" w:fill="FFFFFF"/>
            <w:vAlign w:val="center"/>
            <w:hideMark/>
          </w:tcPr>
          <w:p w:rsidR="007B45BB" w:rsidRPr="00D97EAA" w:rsidRDefault="007B45BB" w:rsidP="00D97EAA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D97EA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D97EA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7B45BB" w:rsidRPr="00D8516C" w:rsidRDefault="00D8516C" w:rsidP="00D97EA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7B45BB" w:rsidRPr="00D97EAA" w:rsidTr="00227B83">
        <w:trPr>
          <w:trHeight w:val="170"/>
        </w:trPr>
        <w:tc>
          <w:tcPr>
            <w:tcW w:w="851" w:type="dxa"/>
            <w:shd w:val="clear" w:color="auto" w:fill="92D050"/>
            <w:vAlign w:val="center"/>
            <w:hideMark/>
          </w:tcPr>
          <w:p w:rsidR="007B45BB" w:rsidRPr="00D97EAA" w:rsidRDefault="007B45BB" w:rsidP="00D97EAA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7B45BB" w:rsidRPr="00F056E4" w:rsidRDefault="007B45BB" w:rsidP="00F05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F056E4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Pompa</w:t>
            </w:r>
            <w:proofErr w:type="spellEnd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infuzyjna</w:t>
            </w:r>
            <w:proofErr w:type="spellEnd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strzykawkowa</w:t>
            </w:r>
            <w:proofErr w:type="spellEnd"/>
          </w:p>
        </w:tc>
      </w:tr>
      <w:tr w:rsidR="007B45BB" w:rsidRPr="00263B83" w:rsidTr="00227B83">
        <w:trPr>
          <w:trHeight w:val="400"/>
        </w:trPr>
        <w:tc>
          <w:tcPr>
            <w:tcW w:w="851" w:type="dxa"/>
            <w:vAlign w:val="center"/>
            <w:hideMark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221" w:type="dxa"/>
            <w:hideMark/>
          </w:tcPr>
          <w:p w:rsidR="007B45BB" w:rsidRPr="002030C9" w:rsidRDefault="007B45BB" w:rsidP="0026333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Pompa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>strzykawkowa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sterowana elektronicznie przeznaczona do stosowania u dorosłych, dzieci oraz noworodków w celu okresowego lub ciągłego podawania pozajelitowych i dojelitowych płynów klinicznie akceptowanymi drogami podania. Należą do nich droga dożylna,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>dotętnicowa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>, podskórna, zewnątrzoponowa i dojelitowa – 24 sztuki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8221" w:type="dxa"/>
            <w:hideMark/>
          </w:tcPr>
          <w:p w:rsidR="007B45BB" w:rsidRPr="002030C9" w:rsidRDefault="007B45BB" w:rsidP="0026333B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Napięcie 11-16 V DC, zasilanie przy użyciu zasilacza zewnętrznego – 2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>szt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lub Stacji Dokującej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8221" w:type="dxa"/>
            <w:hideMark/>
          </w:tcPr>
          <w:p w:rsidR="007B45BB" w:rsidRPr="002030C9" w:rsidRDefault="007B45BB" w:rsidP="0026333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Dokładność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mechaniczna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&lt;&lt;±0,5%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8221" w:type="dxa"/>
            <w:hideMark/>
          </w:tcPr>
          <w:p w:rsidR="007B45BB" w:rsidRPr="002030C9" w:rsidRDefault="007B45BB" w:rsidP="0026333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Strzykawka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mocowana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od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przodu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</w:tr>
      <w:tr w:rsidR="007B45BB" w:rsidRPr="00BB2B15" w:rsidTr="00227B83">
        <w:trPr>
          <w:trHeight w:val="283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Automatyczny</w:t>
            </w:r>
            <w:proofErr w:type="spellEnd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napęd</w:t>
            </w:r>
            <w:proofErr w:type="spellEnd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strzykawki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Zabezpieczenie przed swobodnym przepływem, niezależnie od położenia głowicy napędowej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Pompa skalibrowana do pracy ze strzykawkami o objętości 2/3, 5, 10, 20 i 50/60 ml różnych typów oraz różnych producentów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Masa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pompy</w:t>
            </w:r>
            <w:proofErr w:type="spellEnd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max. 1,5 kg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8221" w:type="dxa"/>
            <w:hideMark/>
          </w:tcPr>
          <w:p w:rsidR="007B45BB" w:rsidRPr="002030C9" w:rsidRDefault="007B45BB" w:rsidP="009D41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Pompa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zajmujaca</w:t>
            </w:r>
            <w:proofErr w:type="spellEnd"/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przestrzeń nie większą niż 3 000 cm3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Klawiatura nawigacyjna do wprowadzania parametrów i obsługi pompy</w:t>
            </w:r>
          </w:p>
        </w:tc>
      </w:tr>
      <w:tr w:rsidR="007B45BB" w:rsidRPr="00263B83" w:rsidTr="00227B83">
        <w:trPr>
          <w:trHeight w:val="182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11.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Odłączalny uchwyt do przenoszenia i mocowania pompy do rur i szyn medycznych pionowych i poziomych-2szt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łączenia 2 i 3 pomp w moduły bez użycia stacji dokującej.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Odłączalny uchwyt do przenoszenia zestaw 2 i 3 pomp zasilanych jednym przewodem.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Podświetlany ekran i przyciski z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mozliwością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regulacji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Regulacja głośności w zakresie od 59dBA do 74dBA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Regulacja jasności i kontrastu ekranu na 9 poziomach</w:t>
            </w:r>
          </w:p>
        </w:tc>
      </w:tr>
      <w:tr w:rsidR="007B45BB" w:rsidRPr="00263B83" w:rsidTr="00227B83">
        <w:trPr>
          <w:trHeight w:val="261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8221" w:type="dxa"/>
            <w:hideMark/>
          </w:tcPr>
          <w:p w:rsidR="007B45BB" w:rsidRPr="00BB2B15" w:rsidRDefault="007B45BB" w:rsidP="00FD53CE">
            <w:pPr>
              <w:widowControl w:val="0"/>
              <w:autoSpaceDE w:val="0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BB2B15">
              <w:rPr>
                <w:rFonts w:ascii="Arial" w:hAnsi="Arial" w:cs="Arial"/>
                <w:bCs/>
                <w:sz w:val="18"/>
                <w:szCs w:val="18"/>
                <w:lang w:val="pl-PL"/>
              </w:rPr>
              <w:t>Zasilanie z akumulatora wewnętrznego min 10 h. przy przepływie 5 ml/h.;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programowania parametrów infuzji w mg,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mcg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, U lub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mmol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,   z uwzględnieniem lub nie masy ciała w odniesieniu do czasu ( np. mg/kg/min; mg/kg/h; mg/kg/24h)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Zakres prędkości infuzji podstawowej min. 0,1 do 999,9 ml/h  Prędkość infuzji w zakresie od 0,1 - 99,99ml/h programowana co 0,01ml/godz.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Merge w:val="restart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Prędkości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bolusa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min: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poj.3ml =1-150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poj.5ml =1-300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poj.10ml =1-500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poj.20ml =1-800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poj.30ml =1-1200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poj.50/60ml =1-1800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utworzenia Bazy Leków używanych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infuzjoterapii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na terenie szpitala  z możliwością zastosowania oprogramowania do tworzenia Bibliotek Leków na poszczególne oddziały.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skonfigurowania do 50 oddziałów w jednej pompie.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24.</w:t>
            </w:r>
          </w:p>
        </w:tc>
        <w:tc>
          <w:tcPr>
            <w:tcW w:w="8221" w:type="dxa"/>
            <w:hideMark/>
          </w:tcPr>
          <w:p w:rsidR="007B45BB" w:rsidRPr="00BB2B15" w:rsidRDefault="007B45BB" w:rsidP="00851B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Biblioteka Leków zawierająca 1 200  leków z możliwością podzielenia na min. 30 grup.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Biblioteka leków zawierająca po 10 stężeń dla każdego leku.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26.</w:t>
            </w:r>
          </w:p>
        </w:tc>
        <w:tc>
          <w:tcPr>
            <w:tcW w:w="8221" w:type="dxa"/>
            <w:hideMark/>
          </w:tcPr>
          <w:p w:rsidR="007B45BB" w:rsidRPr="00BB2B15" w:rsidRDefault="007B45BB" w:rsidP="006C75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Leki zawarte w Bibliotece Leków powiązane z parametrami infuzji (limity względne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min-max;limity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bezwzględne min-max, parametry standardowe), możliwość wyświetlania naprzemiennego nazwy leku i/lub wybranych parametrów infuzji.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27.</w:t>
            </w:r>
          </w:p>
        </w:tc>
        <w:tc>
          <w:tcPr>
            <w:tcW w:w="8221" w:type="dxa"/>
            <w:hideMark/>
          </w:tcPr>
          <w:p w:rsidR="007B45BB" w:rsidRPr="00BB2B15" w:rsidRDefault="007B45BB" w:rsidP="00D759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infuzji przy stopniowym wzroście i spadku prędkości. Infuzja składa się z trzech faz: wzrostu, utrzymania i spadku.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28.</w:t>
            </w:r>
          </w:p>
        </w:tc>
        <w:tc>
          <w:tcPr>
            <w:tcW w:w="8221" w:type="dxa"/>
            <w:hideMark/>
          </w:tcPr>
          <w:p w:rsidR="007B45BB" w:rsidRPr="00BB2B15" w:rsidRDefault="007B45BB" w:rsidP="00F12F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Wspólny kabel umożliwiający zasilanie 3 pomp-2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szt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Automatyczne prowadzenie infuzji w trybie okresowym,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składającycm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się z dwóch faz: bolusa i prędkości.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terapii dawka w czasie. Po wprowadzeniu parametrów dawki i czasu pompa automatycznie obliczy prędkość infuzji.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31.</w:t>
            </w:r>
          </w:p>
        </w:tc>
        <w:tc>
          <w:tcPr>
            <w:tcW w:w="8221" w:type="dxa"/>
            <w:hideMark/>
          </w:tcPr>
          <w:p w:rsidR="007B45BB" w:rsidRPr="00BB2B15" w:rsidRDefault="007B45BB" w:rsidP="008F6E6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Tryb przejęcia - automatyczne przejmowanie infuzji  przez kolejną pompę natychmiast po zakończeniu infuzji w poprzedniej. Pompy w trakcie pracy muszą być czytelnie oznaczone. np. pompa 1, pompa 2.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Automatyczne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przenoszeniedo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pompy obliczonej wartości podaży insuliny przez system do kontrolowanej insulinoterapii.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33.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opcjonalnego rozszerzenia oprogramowania pompy o tryb TCI  (ang.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Target Controlled Infusion)-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uruchomiony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5 pomp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Tryb TCI z modelami farmakokinetycznymi dla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Propofolu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Remifentanyli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i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Sufentanylu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podania dodatkowego bolusa w trakcie trwania terapii TCI.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znieczulenia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zewnątrzoponowego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opcjonalnego rozszerzenia oprogramowania pompy o tryb PCA i PCEA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Zakres ciśnienia okluzji od 75 mmHg do 900mmHg, z wyborem na 9 poziomach.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rozszerzenia zakresu ciśnienia okluzji o trzy dodatkowe poziomy 10 mmHg, 30 mmHg, 50 mmHg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Czujnik skoku/spadku ciśnienia w linii - (okluzji i  rozłączenia linii) bez konieczności stosowania specjalnych drenów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Dokładność czujnika skoku/spadku ciśnienia w linii możliwa do ustawienia na trzech poziomach 2mmHg, 8mmHg, 20mmHg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Prezentacja ciągłego pomiaru ciśnienia w linii w formie graficznej.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programowania objętości do podania (VTBD) 0,1- 9999 ml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programowania czasu infuzji przynajmniej od 1min – 99:59 godzin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stand-by programowana w zakresie 1 min - 23:59 godz.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Komunikacja pomp umieszczonych w stacji dokującej/stanowisko pacjenta z komputerem poprzez Ethernet - złącze RJ45.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Bez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konieczności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stosowania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dodatkowych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kabli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np.RS232.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Pompa przygotowana do rozbudowy o moduł do bezprzewodowej komunikacji pomp z komputerem poza stacją dokującą 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Alarmy niezbędne do bezpiecznego prowadzenia terapii.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Menu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języku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polskim</w:t>
            </w:r>
            <w:proofErr w:type="spellEnd"/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Historia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pracy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obejmująca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3000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wpisów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czytnikiem kodów kreskowych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systemem do kontrolowanej insulinoterapii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pracy pompy w środowisku MRI - w dedykowanej stacji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54.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Zużycie energii - pobór mocy przez jedną pompę maksymalnie 8VA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55.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Tabliczka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znamionowa</w:t>
            </w:r>
            <w:proofErr w:type="spellEnd"/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5BB" w:rsidRPr="00BB2B15" w:rsidRDefault="007B45BB" w:rsidP="00FD53CE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5BB" w:rsidRPr="00BB2B15" w:rsidRDefault="007B45BB" w:rsidP="00FD53CE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</w:pPr>
          </w:p>
        </w:tc>
      </w:tr>
      <w:tr w:rsidR="00641C5E" w:rsidRPr="00263B83" w:rsidTr="00227B83">
        <w:trPr>
          <w:trHeight w:val="17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1C5E" w:rsidRDefault="00641C5E" w:rsidP="004C17BF">
            <w:pPr>
              <w:spacing w:after="0" w:line="240" w:lineRule="auto"/>
              <w:rPr>
                <w:rFonts w:ascii="Tahoma" w:hAnsi="Tahoma" w:cs="Tahoma"/>
                <w:b/>
                <w:szCs w:val="24"/>
                <w:lang w:val="pl-PL"/>
              </w:rPr>
            </w:pPr>
            <w:r>
              <w:rPr>
                <w:rFonts w:ascii="Tahoma" w:hAnsi="Tahoma" w:cs="Tahoma"/>
                <w:b/>
                <w:szCs w:val="24"/>
                <w:lang w:val="pl-PL"/>
              </w:rPr>
              <w:t xml:space="preserve">Pozycja 2 Pompa infuzyjna </w:t>
            </w:r>
            <w:r w:rsidR="00A9780F">
              <w:rPr>
                <w:rFonts w:ascii="Tahoma" w:hAnsi="Tahoma" w:cs="Tahoma"/>
                <w:b/>
                <w:szCs w:val="24"/>
                <w:lang w:val="pl-PL"/>
              </w:rPr>
              <w:t>objętościowa</w:t>
            </w:r>
            <w:r w:rsidRPr="00344075">
              <w:rPr>
                <w:rFonts w:ascii="Tahoma" w:hAnsi="Tahoma" w:cs="Tahoma"/>
                <w:b/>
                <w:szCs w:val="24"/>
                <w:lang w:val="pl-PL"/>
              </w:rPr>
              <w:t xml:space="preserve"> </w:t>
            </w:r>
            <w:r>
              <w:rPr>
                <w:rFonts w:ascii="Tahoma" w:hAnsi="Tahoma" w:cs="Tahoma"/>
                <w:b/>
                <w:szCs w:val="24"/>
                <w:lang w:val="pl-PL"/>
              </w:rPr>
              <w:t>– 8</w:t>
            </w:r>
            <w:r w:rsidRPr="00344075">
              <w:rPr>
                <w:rFonts w:ascii="Tahoma" w:hAnsi="Tahoma" w:cs="Tahoma"/>
                <w:b/>
                <w:szCs w:val="24"/>
                <w:lang w:val="pl-PL"/>
              </w:rPr>
              <w:t xml:space="preserve"> szt.</w:t>
            </w:r>
          </w:p>
          <w:p w:rsidR="004C17BF" w:rsidRPr="004C17BF" w:rsidRDefault="004C17BF" w:rsidP="004C17BF">
            <w:pPr>
              <w:spacing w:after="0" w:line="240" w:lineRule="auto"/>
              <w:rPr>
                <w:rFonts w:ascii="Tahoma" w:hAnsi="Tahoma" w:cs="Tahoma"/>
                <w:b/>
                <w:szCs w:val="24"/>
                <w:lang w:val="pl-PL"/>
              </w:rPr>
            </w:pPr>
          </w:p>
        </w:tc>
      </w:tr>
      <w:tr w:rsidR="007B45BB" w:rsidRPr="00D97EAA" w:rsidTr="00227B83">
        <w:trPr>
          <w:trHeight w:val="17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7B45BB" w:rsidRPr="00D97EAA" w:rsidRDefault="007B45BB" w:rsidP="00FD53C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II 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92D050"/>
            <w:vAlign w:val="center"/>
            <w:hideMark/>
          </w:tcPr>
          <w:p w:rsidR="007B45BB" w:rsidRPr="00F056E4" w:rsidRDefault="007B45BB" w:rsidP="009B4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F056E4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Pompa</w:t>
            </w:r>
            <w:proofErr w:type="spellEnd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infuzyjna</w:t>
            </w:r>
            <w:proofErr w:type="spellEnd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r w:rsidR="009B4990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objętościowa</w:t>
            </w:r>
            <w:bookmarkStart w:id="0" w:name="_GoBack"/>
            <w:bookmarkEnd w:id="0"/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Pompa objętościowa sterowana  elektronicznie, umożliwiająca współpracę z systemem centralnego zasilania i zarządzania danymi, przeznaczona do stosowania u dorosłych, dzieci oraz noworodków w celu okresowego lub ciągłego  podawania leków zalecanych do terapii infuzyjnej, w skład których wchodzą m.in. koloidy i krystaloidy, krew i składniki krwi, płyny używane do całkowitego żywienia pozajelitowego (TPN); lipidy i płyny stosowane w żywieniu dojelitowym.- </w:t>
            </w:r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Napięcie 11-16 V DC, zasilanie przy użyciu zasilacza zewnętrznego lub Stacji Dokującej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Dokładność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mechaniczna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&lt;&lt;±0,5%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podaży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preparatów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krwiopochodnych</w:t>
            </w:r>
            <w:proofErr w:type="spellEnd"/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podaży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żywienia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dojelitowego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podaży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cytostatyków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w układzie zamkniętym zgodnie z definicją NIOSH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Mechanizm zabezpieczający  przed swobodnym  niekontrolowanym przepływem składający się z dwóch elementów – jeden w pompie jeden na drenie.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Kolorystyczne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kodowanie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zacisków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szczelinowych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zależności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stosowanej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terapii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Zasilanie z akumulatora wewnętrznego min 10 h. przy przepływie 25 ml/h.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Masa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pompy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max. 1,5 kg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Pompa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zajmujaca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przestrzeń nie większą niż 2 500 cm3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Odłączalny uchwyt do przenoszenia i mocowania pompy do rur i szyn medycznych pionowych i poziomych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łączenia 2 i 3 pomp w moduły bez użycia stacji dokującej.</w:t>
            </w:r>
          </w:p>
        </w:tc>
      </w:tr>
      <w:tr w:rsidR="007B45BB" w:rsidRPr="00263B83" w:rsidTr="00227B83">
        <w:trPr>
          <w:trHeight w:val="216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14.</w:t>
            </w:r>
          </w:p>
        </w:tc>
        <w:tc>
          <w:tcPr>
            <w:tcW w:w="8221" w:type="dxa"/>
            <w:hideMark/>
          </w:tcPr>
          <w:p w:rsidR="007B45BB" w:rsidRPr="00BB7F18" w:rsidRDefault="007B45BB" w:rsidP="00BB7F1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BB2B15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Odłączalny uchwyt do przenoszenia zestaw 2 i 3 pomp zasilanych jednym przewodem.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Podświetlany ekran i przyciski z możliwością regulacji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Regulacja głośności w zakresie od 59dBA do 74dBA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Regulacja jasności i kontrastu ekranu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programowania parametrów infuzji w mg,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mcg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, U lub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mmol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,   z uwzględnieniem lub nie masy ciała w odniesieniu do czasu ( np. mg/kg/min; mg/kg/h; mg/kg/24h)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Zakres prędkości infuzji min. 0,1 do 1 200 ml/h  Prędkość infuzji w zakresie od 0,1 - 99,99ml/h programowana co 0,01ml/godz.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programowania objętości do podania (VTBD) min. 9999 ml.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Zmiana szybkości infuzji bez konieczności przerywania wlewu.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Wypełnienie drenu ze stale widoczną na ekranie i możliwą do kontrolowania  informacją o przetoczonej objętości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23.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utworzenia Bazy Leków używanych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infuzjoterapii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na terenie szpitala  z możliwością zastosowania oprogramowania do tworzenia Bibliotek Leków na poszczególne oddziały.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skonfigurowania do 50 oddziałów w jednej pompie.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Biblioteka Leków zawierająca 1 200  leków z możliwością podzielenia na min. 30 grup.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Biblioteka leków zawierająca po 10 stężeń dla każdego leku.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Leki zawarte w Bibliotece Leków powiązane z parametrami infuzji (limity względne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min-max;limity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bezwzględne min-max, parametry standardowe), możliwość wyświetlania naprzemiennego nazwy leku i/lub wybranych parametrów infuzji.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infuzji dołączanej (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piggyback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)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infuzji przy stopniowym wzroście i spadku prędkości. Infuzja składa się z trzech faz: wzrostu, utrzymania i spadku.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Automatyczne prowadzenie infuzji w trybie okresowym,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składającycm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się z dwóch faz: bolusa i prędkości.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infuzji w trybie programowanym, z możliwością zaprogramowania 12 faz. Każda faza o określonych parametrach takich jak prędkość, czas, objętość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terapii dawka w czasie. Po wprowadzeniu parametrów dawki i czasu pompa automatycznie obliczy prędkość infuzji.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Automatyczne przekazywanie danych o podawanym żywieniu (pozajelitowym i dojelitowym) do systemu kontrolowanej insulinoterapii.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bibliotece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leków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zawarte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żywienia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Bolus o określonej  objętości . Bolus podawany na żądanie .Maksymalna objętość bolusa po alarmie okluzji ≤0,2ml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precyzyjnej podaży z lub bez czujnika kropli.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KVO z możliwością  wyłączenia funkcji przez użytkownika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Prezentacja ciągłego pomiaru ciśnienia w linii w formie graficznej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Akustyczno-optyczny system alarmów i ostrzeżeń 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Menu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języku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polskim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programowania czasu infuzji przynajmniej od 1min – 99:59 godzin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łączenia pomp w moduły bez użycia stacji dokującej - 3 pompy.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opcjonalnego rozszerzenia oprogramowania pompy o tryb TCI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opcjonalnego rozszerzenia oprogramowania pompy o tryb PCA i PCEA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Zakres ciśnienia okluzji od 225 mmHg do 900mmHg, z wyborem na 9 poziomach.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rozszerzenia zakresu ciśnienia okluzji o trzy dodatkowe poziomy 50 mmHg, 100 mmHg, 150 mmHg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Czułość techniczna – wykrywanie pojedynczych pęcherzyków powietrza ≤ 0,01 ml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Komunikacja pomp umieszczonych w stacji dokującej/stanowisko pacjenta z komputerem poprzez Ethernet - złącze RJ45.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Bez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konieczności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stosowania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dodatkowych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kabli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np.RS232.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Pompa przygotowana do rozbudowy o moduł do bezprzewodowej komunikacji pomp z komputerem poza stacją dokującą 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 przypadku niewłaściwej dawki 1,4 ml spowodowanej niepoprawnym działaniem urządzenia, pompa wyłączy się automatycznie.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Alarmy niezbędne do bezpiecznego prowadzenia terapii.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Historia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pracy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obejmująca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3000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wpisów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czytnikiem  kodów kreskowych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systemem do kontrolowanej insulinoterapii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54.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pracy pompy w środowisku MRI - w dedykowanej stacji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55.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Zużycie energii - pobór mocy przez jedną pompę maksymalnie 8VA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5BB" w:rsidRPr="007B45BB" w:rsidRDefault="007B45BB" w:rsidP="00FD53C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5BB" w:rsidRPr="007B45BB" w:rsidRDefault="007B45BB" w:rsidP="007A4540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pl-PL" w:eastAsia="pl-PL"/>
              </w:rPr>
            </w:pPr>
          </w:p>
        </w:tc>
      </w:tr>
      <w:tr w:rsidR="00475EE5" w:rsidRPr="00344075" w:rsidTr="00227B83">
        <w:trPr>
          <w:trHeight w:val="17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5EE5" w:rsidRDefault="00475EE5" w:rsidP="00475EE5">
            <w:pPr>
              <w:spacing w:after="0" w:line="240" w:lineRule="auto"/>
              <w:rPr>
                <w:rFonts w:ascii="Tahoma" w:hAnsi="Tahoma" w:cs="Tahoma"/>
                <w:b/>
                <w:szCs w:val="24"/>
                <w:lang w:val="pl-PL"/>
              </w:rPr>
            </w:pPr>
            <w:r>
              <w:rPr>
                <w:rFonts w:ascii="Tahoma" w:hAnsi="Tahoma" w:cs="Tahoma"/>
                <w:b/>
                <w:szCs w:val="24"/>
                <w:lang w:val="pl-PL"/>
              </w:rPr>
              <w:t>Pozycja 3 Stacja dokująca</w:t>
            </w:r>
            <w:r w:rsidRPr="00344075">
              <w:rPr>
                <w:rFonts w:ascii="Tahoma" w:hAnsi="Tahoma" w:cs="Tahoma"/>
                <w:b/>
                <w:szCs w:val="24"/>
                <w:lang w:val="pl-PL"/>
              </w:rPr>
              <w:t xml:space="preserve"> </w:t>
            </w:r>
            <w:r>
              <w:rPr>
                <w:rFonts w:ascii="Tahoma" w:hAnsi="Tahoma" w:cs="Tahoma"/>
                <w:b/>
                <w:szCs w:val="24"/>
                <w:lang w:val="pl-PL"/>
              </w:rPr>
              <w:t xml:space="preserve">– </w:t>
            </w:r>
            <w:r w:rsidR="00D75BB7">
              <w:rPr>
                <w:rFonts w:ascii="Tahoma" w:hAnsi="Tahoma" w:cs="Tahoma"/>
                <w:b/>
                <w:szCs w:val="24"/>
                <w:lang w:val="pl-PL"/>
              </w:rPr>
              <w:t>19</w:t>
            </w:r>
            <w:r w:rsidRPr="00344075">
              <w:rPr>
                <w:rFonts w:ascii="Tahoma" w:hAnsi="Tahoma" w:cs="Tahoma"/>
                <w:b/>
                <w:szCs w:val="24"/>
                <w:lang w:val="pl-PL"/>
              </w:rPr>
              <w:t xml:space="preserve"> szt.</w:t>
            </w:r>
          </w:p>
          <w:p w:rsidR="00475EE5" w:rsidRPr="007B45BB" w:rsidRDefault="00475EE5" w:rsidP="007A4540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pl-PL" w:eastAsia="pl-PL"/>
              </w:rPr>
            </w:pPr>
          </w:p>
        </w:tc>
      </w:tr>
      <w:tr w:rsidR="007B45BB" w:rsidRPr="00D97EAA" w:rsidTr="00227B83">
        <w:trPr>
          <w:trHeight w:val="170"/>
        </w:trPr>
        <w:tc>
          <w:tcPr>
            <w:tcW w:w="851" w:type="dxa"/>
            <w:shd w:val="clear" w:color="auto" w:fill="92D050"/>
            <w:vAlign w:val="center"/>
          </w:tcPr>
          <w:p w:rsidR="007B45BB" w:rsidRPr="00D97EAA" w:rsidRDefault="007B45BB" w:rsidP="00FD53C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7B45BB" w:rsidRPr="00F056E4" w:rsidRDefault="007B45BB" w:rsidP="007A4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F056E4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Stacja</w:t>
            </w:r>
            <w:proofErr w:type="spellEnd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dokująca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8221" w:type="dxa"/>
            <w:hideMark/>
          </w:tcPr>
          <w:p w:rsidR="007B45BB" w:rsidRPr="002030C9" w:rsidRDefault="007B45BB" w:rsidP="00433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Stacja dokująca na 4 pompy opisane powyżej która umożliwia mocowanie na stojakach infuzyjnych i pionowych rurach, np. systemach podwieszanych, jak również do poziomych naściennych</w:t>
            </w:r>
          </w:p>
          <w:p w:rsidR="007B45BB" w:rsidRPr="002030C9" w:rsidRDefault="007B45BB" w:rsidP="00433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syst</w:t>
            </w:r>
            <w:r w:rsidR="00FE24EE"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emów prowadnic </w:t>
            </w: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bez konieczności stosowania dodatkowych</w:t>
            </w:r>
          </w:p>
          <w:p w:rsidR="007B45BB" w:rsidRPr="00BB2B15" w:rsidRDefault="007B45BB" w:rsidP="00433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adapterów lub akcesoriów montażowych.- 8 sztuk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System szybkiego mocowania pomp do stacji dokującej bez przerywania przepływu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dowolnej konfiguracji  ilości pomp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strzykawkowych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i objętościowych w stacji dokującej przy każdym stanowisku pacjenta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Mocowanie stacji dokującej do rury pionowej lub poziomej bez dodatkowego oprzyrządowania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Oprócz mocowania uchwyt do przenoszenia modułu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wymiany akumulatora przez użytkownika bez użycia narzędzi.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rozbudowy stacji dokującej i przystosowanie do maximum </w:t>
            </w:r>
            <w:r w:rsidRPr="00BB2B1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24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pomp na stanowisko.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współpracy z czytnikiem  kodów paskowych .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obserwacji infuzji z minimum maximum </w:t>
            </w:r>
            <w:r w:rsidRPr="00BB2B1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24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pomp na stanowisko.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Systemem do kontrolowanej insulinoterapii</w:t>
            </w:r>
          </w:p>
        </w:tc>
      </w:tr>
    </w:tbl>
    <w:p w:rsidR="00D75BB7" w:rsidRDefault="00D75BB7" w:rsidP="00D75BB7">
      <w:pPr>
        <w:spacing w:after="0" w:line="240" w:lineRule="auto"/>
        <w:rPr>
          <w:rFonts w:ascii="Tahoma" w:hAnsi="Tahoma" w:cs="Tahoma"/>
          <w:b/>
          <w:szCs w:val="24"/>
          <w:lang w:val="pl-PL"/>
        </w:rPr>
      </w:pPr>
    </w:p>
    <w:p w:rsidR="00D75BB7" w:rsidRDefault="00D75BB7" w:rsidP="00D75BB7">
      <w:pPr>
        <w:spacing w:after="0" w:line="240" w:lineRule="auto"/>
        <w:rPr>
          <w:rFonts w:ascii="Tahoma" w:hAnsi="Tahoma" w:cs="Tahoma"/>
          <w:b/>
          <w:szCs w:val="24"/>
          <w:lang w:val="pl-PL"/>
        </w:rPr>
      </w:pPr>
    </w:p>
    <w:p w:rsidR="00D75BB7" w:rsidRDefault="00D75BB7" w:rsidP="00D75BB7">
      <w:pPr>
        <w:spacing w:after="0" w:line="240" w:lineRule="auto"/>
        <w:rPr>
          <w:rFonts w:ascii="Tahoma" w:hAnsi="Tahoma" w:cs="Tahoma"/>
          <w:b/>
          <w:szCs w:val="24"/>
          <w:lang w:val="pl-PL"/>
        </w:rPr>
      </w:pPr>
    </w:p>
    <w:p w:rsidR="00F13094" w:rsidRDefault="00F13094" w:rsidP="00D75BB7">
      <w:pPr>
        <w:spacing w:after="0" w:line="24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>Pakiet nr 2</w:t>
      </w:r>
    </w:p>
    <w:p w:rsidR="00D75BB7" w:rsidRDefault="00D75BB7" w:rsidP="00301C6A">
      <w:pPr>
        <w:spacing w:after="0" w:line="24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 xml:space="preserve">Pozycja </w:t>
      </w:r>
      <w:r w:rsidR="00F13094">
        <w:rPr>
          <w:rFonts w:ascii="Tahoma" w:hAnsi="Tahoma" w:cs="Tahoma"/>
          <w:b/>
          <w:szCs w:val="24"/>
          <w:lang w:val="pl-PL"/>
        </w:rPr>
        <w:t>1</w:t>
      </w:r>
      <w:r>
        <w:rPr>
          <w:rFonts w:ascii="Tahoma" w:hAnsi="Tahoma" w:cs="Tahoma"/>
          <w:b/>
          <w:szCs w:val="24"/>
          <w:lang w:val="pl-PL"/>
        </w:rPr>
        <w:t xml:space="preserve"> Statyw do kroplówek</w:t>
      </w:r>
      <w:r w:rsidRPr="00344075">
        <w:rPr>
          <w:rFonts w:ascii="Tahoma" w:hAnsi="Tahoma" w:cs="Tahoma"/>
          <w:b/>
          <w:szCs w:val="24"/>
          <w:lang w:val="pl-PL"/>
        </w:rPr>
        <w:t xml:space="preserve"> </w:t>
      </w:r>
      <w:r>
        <w:rPr>
          <w:rFonts w:ascii="Tahoma" w:hAnsi="Tahoma" w:cs="Tahoma"/>
          <w:b/>
          <w:szCs w:val="24"/>
          <w:lang w:val="pl-PL"/>
        </w:rPr>
        <w:t>– 6</w:t>
      </w:r>
      <w:r w:rsidRPr="00344075">
        <w:rPr>
          <w:rFonts w:ascii="Tahoma" w:hAnsi="Tahoma" w:cs="Tahoma"/>
          <w:b/>
          <w:szCs w:val="24"/>
          <w:lang w:val="pl-PL"/>
        </w:rPr>
        <w:t xml:space="preserve"> szt.</w:t>
      </w:r>
    </w:p>
    <w:p w:rsidR="00301C6A" w:rsidRPr="00301C6A" w:rsidRDefault="00301C6A" w:rsidP="00301C6A">
      <w:pPr>
        <w:spacing w:after="0" w:line="240" w:lineRule="auto"/>
        <w:rPr>
          <w:rFonts w:ascii="Tahoma" w:hAnsi="Tahoma" w:cs="Tahoma"/>
          <w:b/>
          <w:szCs w:val="24"/>
          <w:lang w:val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221"/>
      </w:tblGrid>
      <w:tr w:rsidR="00A9780F" w:rsidRPr="00F056E4" w:rsidTr="0027335E">
        <w:trPr>
          <w:trHeight w:val="170"/>
        </w:trPr>
        <w:tc>
          <w:tcPr>
            <w:tcW w:w="851" w:type="dxa"/>
            <w:shd w:val="clear" w:color="auto" w:fill="92D050"/>
            <w:vAlign w:val="center"/>
          </w:tcPr>
          <w:p w:rsidR="00A9780F" w:rsidRPr="00D97EAA" w:rsidRDefault="00A9780F" w:rsidP="0027335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A9780F" w:rsidRPr="00F056E4" w:rsidRDefault="00A9780F" w:rsidP="0027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F056E4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Statyw</w:t>
            </w:r>
            <w:proofErr w:type="spellEnd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kroplówek</w:t>
            </w:r>
            <w:proofErr w:type="spellEnd"/>
          </w:p>
        </w:tc>
      </w:tr>
      <w:tr w:rsidR="00A9780F" w:rsidRPr="00D75BB7" w:rsidTr="0027335E">
        <w:trPr>
          <w:trHeight w:val="170"/>
        </w:trPr>
        <w:tc>
          <w:tcPr>
            <w:tcW w:w="851" w:type="dxa"/>
            <w:vAlign w:val="bottom"/>
          </w:tcPr>
          <w:p w:rsidR="00A9780F" w:rsidRPr="00BB2B15" w:rsidRDefault="00A9780F" w:rsidP="002733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8221" w:type="dxa"/>
            <w:hideMark/>
          </w:tcPr>
          <w:p w:rsidR="00A9780F" w:rsidRPr="00D75BB7" w:rsidRDefault="00A9780F" w:rsidP="00DC7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Konstrukcja - stelaż 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ze stali</w:t>
            </w: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lakierowan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ej</w:t>
            </w: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proszkowo. </w:t>
            </w:r>
            <w:r w:rsidR="004A443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</w:t>
            </w: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rzystosowany do rozbudowy wózka w przyszłości o wyposażenie dodatkowe (m.in. półkę, szufladę z półką, koszyk na akcesoria) wyłącznie za pomocą elementów złącznych, bez ko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nieczności wykonywania otworów . </w:t>
            </w:r>
          </w:p>
        </w:tc>
      </w:tr>
      <w:tr w:rsidR="00DC75CB" w:rsidRPr="00D75BB7" w:rsidTr="0027335E">
        <w:trPr>
          <w:trHeight w:val="170"/>
        </w:trPr>
        <w:tc>
          <w:tcPr>
            <w:tcW w:w="851" w:type="dxa"/>
            <w:vAlign w:val="bottom"/>
          </w:tcPr>
          <w:p w:rsidR="00DC75CB" w:rsidRPr="00BB2B15" w:rsidRDefault="00DC75CB" w:rsidP="002733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8221" w:type="dxa"/>
          </w:tcPr>
          <w:p w:rsidR="00DC75CB" w:rsidRPr="00D75BB7" w:rsidRDefault="00DC75CB" w:rsidP="00DC7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Kolumna z regulacją wysokości w zakresie min. 1400-2100 mm.</w:t>
            </w:r>
          </w:p>
        </w:tc>
      </w:tr>
      <w:tr w:rsidR="00DC75CB" w:rsidRPr="00D75BB7" w:rsidTr="0027335E">
        <w:trPr>
          <w:trHeight w:val="170"/>
        </w:trPr>
        <w:tc>
          <w:tcPr>
            <w:tcW w:w="851" w:type="dxa"/>
            <w:vAlign w:val="bottom"/>
          </w:tcPr>
          <w:p w:rsidR="00DC75CB" w:rsidRPr="00BB2B15" w:rsidRDefault="00DC75CB" w:rsidP="002733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8221" w:type="dxa"/>
          </w:tcPr>
          <w:p w:rsidR="00DC75CB" w:rsidRPr="00D75BB7" w:rsidRDefault="00DC75CB" w:rsidP="004A4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mocowania min. 2 pomp infuzyjnych razem ze stacją dokującą.</w:t>
            </w:r>
          </w:p>
        </w:tc>
      </w:tr>
      <w:tr w:rsidR="00A9780F" w:rsidRPr="00D75BB7" w:rsidTr="0027335E">
        <w:trPr>
          <w:trHeight w:val="170"/>
        </w:trPr>
        <w:tc>
          <w:tcPr>
            <w:tcW w:w="851" w:type="dxa"/>
            <w:vAlign w:val="bottom"/>
          </w:tcPr>
          <w:p w:rsidR="00A9780F" w:rsidRPr="00BB2B15" w:rsidRDefault="00DC75CB" w:rsidP="002733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="00A9780F" w:rsidRPr="00BB2B15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8221" w:type="dxa"/>
            <w:hideMark/>
          </w:tcPr>
          <w:p w:rsidR="00A9780F" w:rsidRPr="00D75BB7" w:rsidRDefault="00A9780F" w:rsidP="004A4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4A443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Wysięgnik kroplówki z głowicą 4 haczykową</w:t>
            </w:r>
          </w:p>
        </w:tc>
      </w:tr>
      <w:tr w:rsidR="00A9780F" w:rsidRPr="00D75BB7" w:rsidTr="0027335E">
        <w:trPr>
          <w:trHeight w:val="170"/>
        </w:trPr>
        <w:tc>
          <w:tcPr>
            <w:tcW w:w="851" w:type="dxa"/>
            <w:vAlign w:val="bottom"/>
          </w:tcPr>
          <w:p w:rsidR="00A9780F" w:rsidRPr="00BB2B15" w:rsidRDefault="00DC75CB" w:rsidP="002733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5</w:t>
            </w:r>
            <w:r w:rsidR="00A9780F" w:rsidRPr="00BB2B15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8221" w:type="dxa"/>
            <w:hideMark/>
          </w:tcPr>
          <w:p w:rsidR="00A9780F" w:rsidRPr="00D75BB7" w:rsidRDefault="00A9780F" w:rsidP="002733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Listwa zasilająca na 5 gniazd elektrycznych mocowana do profilu nośnego za pośrednictwem adaptera umożliwiającego zwinięcie kabla</w:t>
            </w:r>
            <w:r w:rsidR="004A443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min. 3 m.</w:t>
            </w:r>
          </w:p>
        </w:tc>
      </w:tr>
      <w:tr w:rsidR="00A9780F" w:rsidRPr="00D75BB7" w:rsidTr="0027335E">
        <w:trPr>
          <w:trHeight w:val="170"/>
        </w:trPr>
        <w:tc>
          <w:tcPr>
            <w:tcW w:w="851" w:type="dxa"/>
            <w:vAlign w:val="bottom"/>
          </w:tcPr>
          <w:p w:rsidR="00A9780F" w:rsidRPr="00BB2B15" w:rsidRDefault="00DC75CB" w:rsidP="002733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="00A9780F" w:rsidRPr="00BB2B15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8221" w:type="dxa"/>
            <w:hideMark/>
          </w:tcPr>
          <w:p w:rsidR="00A9780F" w:rsidRPr="00D75BB7" w:rsidRDefault="00A9780F" w:rsidP="00A978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Podstawa stalowa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pięcioramienna</w:t>
            </w: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, wyposażona w koła z tworzywa sztucznego o średnicy 75 mm, w tym 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min. </w:t>
            </w: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dwa z blokadą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, przystosowana do obciążenia min. 14 kg.</w:t>
            </w:r>
            <w:r w:rsidR="007971D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Średnica podstawy max 700 mm.</w:t>
            </w:r>
          </w:p>
        </w:tc>
      </w:tr>
    </w:tbl>
    <w:p w:rsidR="00A9780F" w:rsidRPr="006B6094" w:rsidRDefault="00A9780F">
      <w:pPr>
        <w:rPr>
          <w:lang w:val="pl-PL"/>
        </w:rPr>
      </w:pPr>
    </w:p>
    <w:sectPr w:rsidR="00A9780F" w:rsidRPr="006B6094" w:rsidSect="00E0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A09" w:rsidRDefault="00433A09" w:rsidP="004040AA">
      <w:pPr>
        <w:spacing w:after="0" w:line="240" w:lineRule="auto"/>
      </w:pPr>
      <w:r>
        <w:separator/>
      </w:r>
    </w:p>
  </w:endnote>
  <w:endnote w:type="continuationSeparator" w:id="0">
    <w:p w:rsidR="00433A09" w:rsidRDefault="00433A09" w:rsidP="0040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A09" w:rsidRDefault="00433A09" w:rsidP="004040AA">
      <w:pPr>
        <w:spacing w:after="0" w:line="240" w:lineRule="auto"/>
      </w:pPr>
      <w:r>
        <w:separator/>
      </w:r>
    </w:p>
  </w:footnote>
  <w:footnote w:type="continuationSeparator" w:id="0">
    <w:p w:rsidR="00433A09" w:rsidRDefault="00433A09" w:rsidP="00404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2E8F"/>
    <w:multiLevelType w:val="multilevel"/>
    <w:tmpl w:val="C6DEA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AA"/>
    <w:rsid w:val="000041C3"/>
    <w:rsid w:val="00005279"/>
    <w:rsid w:val="0002541A"/>
    <w:rsid w:val="000530E7"/>
    <w:rsid w:val="000737C2"/>
    <w:rsid w:val="00081672"/>
    <w:rsid w:val="00083648"/>
    <w:rsid w:val="0009629E"/>
    <w:rsid w:val="000B3129"/>
    <w:rsid w:val="000C57E6"/>
    <w:rsid w:val="000D74F2"/>
    <w:rsid w:val="0012576B"/>
    <w:rsid w:val="00131F1B"/>
    <w:rsid w:val="00153758"/>
    <w:rsid w:val="00172E9C"/>
    <w:rsid w:val="0018790F"/>
    <w:rsid w:val="00196165"/>
    <w:rsid w:val="001C6642"/>
    <w:rsid w:val="001E17E3"/>
    <w:rsid w:val="001F5905"/>
    <w:rsid w:val="002030C9"/>
    <w:rsid w:val="00206B3D"/>
    <w:rsid w:val="00211E06"/>
    <w:rsid w:val="00215A8F"/>
    <w:rsid w:val="00217865"/>
    <w:rsid w:val="00227B83"/>
    <w:rsid w:val="0024312A"/>
    <w:rsid w:val="00243A9E"/>
    <w:rsid w:val="0025544E"/>
    <w:rsid w:val="0026333B"/>
    <w:rsid w:val="00263B83"/>
    <w:rsid w:val="002800D6"/>
    <w:rsid w:val="00280192"/>
    <w:rsid w:val="002C2299"/>
    <w:rsid w:val="002D72B2"/>
    <w:rsid w:val="00301C6A"/>
    <w:rsid w:val="00302EAA"/>
    <w:rsid w:val="00313D3F"/>
    <w:rsid w:val="00331C22"/>
    <w:rsid w:val="00336CAE"/>
    <w:rsid w:val="00341609"/>
    <w:rsid w:val="00344075"/>
    <w:rsid w:val="003521D3"/>
    <w:rsid w:val="00363CEA"/>
    <w:rsid w:val="00385A76"/>
    <w:rsid w:val="003B0E67"/>
    <w:rsid w:val="003B743A"/>
    <w:rsid w:val="003C2AF2"/>
    <w:rsid w:val="003C50A6"/>
    <w:rsid w:val="003C5244"/>
    <w:rsid w:val="003C5EE8"/>
    <w:rsid w:val="003C659A"/>
    <w:rsid w:val="003D62CB"/>
    <w:rsid w:val="003F4C61"/>
    <w:rsid w:val="004040AA"/>
    <w:rsid w:val="0042225A"/>
    <w:rsid w:val="00433185"/>
    <w:rsid w:val="00433A09"/>
    <w:rsid w:val="004441C1"/>
    <w:rsid w:val="004743A5"/>
    <w:rsid w:val="00475EE5"/>
    <w:rsid w:val="00477C46"/>
    <w:rsid w:val="00481750"/>
    <w:rsid w:val="00487294"/>
    <w:rsid w:val="004922D0"/>
    <w:rsid w:val="004A4437"/>
    <w:rsid w:val="004B5F74"/>
    <w:rsid w:val="004C17BF"/>
    <w:rsid w:val="00502A13"/>
    <w:rsid w:val="00502E75"/>
    <w:rsid w:val="005062FC"/>
    <w:rsid w:val="00510D48"/>
    <w:rsid w:val="005220DE"/>
    <w:rsid w:val="00544012"/>
    <w:rsid w:val="00544642"/>
    <w:rsid w:val="00584D08"/>
    <w:rsid w:val="005A4130"/>
    <w:rsid w:val="005C16D8"/>
    <w:rsid w:val="005C6FB0"/>
    <w:rsid w:val="005F6969"/>
    <w:rsid w:val="00603713"/>
    <w:rsid w:val="006272D7"/>
    <w:rsid w:val="00634E90"/>
    <w:rsid w:val="006406BC"/>
    <w:rsid w:val="00641C5E"/>
    <w:rsid w:val="00692D05"/>
    <w:rsid w:val="006B39DC"/>
    <w:rsid w:val="006B4A47"/>
    <w:rsid w:val="006B6094"/>
    <w:rsid w:val="006C757E"/>
    <w:rsid w:val="006D7D76"/>
    <w:rsid w:val="006E0876"/>
    <w:rsid w:val="006E5855"/>
    <w:rsid w:val="006F1E2D"/>
    <w:rsid w:val="006F2355"/>
    <w:rsid w:val="006F600D"/>
    <w:rsid w:val="006F631F"/>
    <w:rsid w:val="007101C5"/>
    <w:rsid w:val="00715E3D"/>
    <w:rsid w:val="00724419"/>
    <w:rsid w:val="007305FD"/>
    <w:rsid w:val="00732FBF"/>
    <w:rsid w:val="00782182"/>
    <w:rsid w:val="007971D3"/>
    <w:rsid w:val="007A4540"/>
    <w:rsid w:val="007B45BB"/>
    <w:rsid w:val="007D7CD8"/>
    <w:rsid w:val="007E1261"/>
    <w:rsid w:val="007E21E4"/>
    <w:rsid w:val="007E221B"/>
    <w:rsid w:val="00812E89"/>
    <w:rsid w:val="008262B6"/>
    <w:rsid w:val="00836BF3"/>
    <w:rsid w:val="00844898"/>
    <w:rsid w:val="00846296"/>
    <w:rsid w:val="008506B1"/>
    <w:rsid w:val="00851B1A"/>
    <w:rsid w:val="00857E1E"/>
    <w:rsid w:val="008600AD"/>
    <w:rsid w:val="00866DB6"/>
    <w:rsid w:val="00881506"/>
    <w:rsid w:val="008C49F2"/>
    <w:rsid w:val="008E5481"/>
    <w:rsid w:val="008F350B"/>
    <w:rsid w:val="008F6E6C"/>
    <w:rsid w:val="009034D3"/>
    <w:rsid w:val="009220BF"/>
    <w:rsid w:val="009254B0"/>
    <w:rsid w:val="00946B56"/>
    <w:rsid w:val="00961280"/>
    <w:rsid w:val="0097345E"/>
    <w:rsid w:val="00986C71"/>
    <w:rsid w:val="00994190"/>
    <w:rsid w:val="009977BF"/>
    <w:rsid w:val="009B4990"/>
    <w:rsid w:val="009B4D3D"/>
    <w:rsid w:val="009D41BC"/>
    <w:rsid w:val="009E4A89"/>
    <w:rsid w:val="00A035B9"/>
    <w:rsid w:val="00A05C31"/>
    <w:rsid w:val="00A068AA"/>
    <w:rsid w:val="00A13713"/>
    <w:rsid w:val="00A351AE"/>
    <w:rsid w:val="00A71EFF"/>
    <w:rsid w:val="00A7452E"/>
    <w:rsid w:val="00A82B20"/>
    <w:rsid w:val="00A9275D"/>
    <w:rsid w:val="00A96888"/>
    <w:rsid w:val="00A9780F"/>
    <w:rsid w:val="00AD2853"/>
    <w:rsid w:val="00AD7ECC"/>
    <w:rsid w:val="00AF54C2"/>
    <w:rsid w:val="00B4253C"/>
    <w:rsid w:val="00B44A3E"/>
    <w:rsid w:val="00B62AB0"/>
    <w:rsid w:val="00B64D28"/>
    <w:rsid w:val="00BA22BA"/>
    <w:rsid w:val="00BB1912"/>
    <w:rsid w:val="00BB2B15"/>
    <w:rsid w:val="00BB7F18"/>
    <w:rsid w:val="00BF2A4C"/>
    <w:rsid w:val="00C10382"/>
    <w:rsid w:val="00C269B6"/>
    <w:rsid w:val="00C27697"/>
    <w:rsid w:val="00C54363"/>
    <w:rsid w:val="00C72BFD"/>
    <w:rsid w:val="00C83AE6"/>
    <w:rsid w:val="00CA13A9"/>
    <w:rsid w:val="00CB2C19"/>
    <w:rsid w:val="00CD5D3B"/>
    <w:rsid w:val="00CE03AC"/>
    <w:rsid w:val="00CE1063"/>
    <w:rsid w:val="00CE20F8"/>
    <w:rsid w:val="00CE4713"/>
    <w:rsid w:val="00CF10FC"/>
    <w:rsid w:val="00CF4260"/>
    <w:rsid w:val="00CF6E2A"/>
    <w:rsid w:val="00D164CE"/>
    <w:rsid w:val="00D57077"/>
    <w:rsid w:val="00D7595F"/>
    <w:rsid w:val="00D75BB7"/>
    <w:rsid w:val="00D84A9D"/>
    <w:rsid w:val="00D8516C"/>
    <w:rsid w:val="00D97EAA"/>
    <w:rsid w:val="00DC1CA2"/>
    <w:rsid w:val="00DC723E"/>
    <w:rsid w:val="00DC75CB"/>
    <w:rsid w:val="00DE3415"/>
    <w:rsid w:val="00DF4F26"/>
    <w:rsid w:val="00E03C65"/>
    <w:rsid w:val="00E220B0"/>
    <w:rsid w:val="00E30EAD"/>
    <w:rsid w:val="00E54175"/>
    <w:rsid w:val="00E55BEA"/>
    <w:rsid w:val="00E603A8"/>
    <w:rsid w:val="00EE5549"/>
    <w:rsid w:val="00EE6293"/>
    <w:rsid w:val="00F056E4"/>
    <w:rsid w:val="00F12F5E"/>
    <w:rsid w:val="00F13094"/>
    <w:rsid w:val="00F20476"/>
    <w:rsid w:val="00F23454"/>
    <w:rsid w:val="00F26676"/>
    <w:rsid w:val="00F85AE8"/>
    <w:rsid w:val="00F86BA1"/>
    <w:rsid w:val="00F97345"/>
    <w:rsid w:val="00FA52B5"/>
    <w:rsid w:val="00FB0858"/>
    <w:rsid w:val="00FC09E5"/>
    <w:rsid w:val="00FD0D3D"/>
    <w:rsid w:val="00FD2163"/>
    <w:rsid w:val="00FD53CE"/>
    <w:rsid w:val="00FE24EE"/>
    <w:rsid w:val="00F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0AA"/>
  </w:style>
  <w:style w:type="paragraph" w:styleId="Stopka">
    <w:name w:val="footer"/>
    <w:basedOn w:val="Normalny"/>
    <w:link w:val="StopkaZnak"/>
    <w:uiPriority w:val="99"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0A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B6094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6B6094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</w:rPr>
  </w:style>
  <w:style w:type="table" w:styleId="Tabela-Siatka">
    <w:name w:val="Table Grid"/>
    <w:basedOn w:val="Standardowy"/>
    <w:rsid w:val="006B609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0AA"/>
  </w:style>
  <w:style w:type="paragraph" w:styleId="Stopka">
    <w:name w:val="footer"/>
    <w:basedOn w:val="Normalny"/>
    <w:link w:val="StopkaZnak"/>
    <w:uiPriority w:val="99"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0A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B6094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6B6094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</w:rPr>
  </w:style>
  <w:style w:type="table" w:styleId="Tabela-Siatka">
    <w:name w:val="Table Grid"/>
    <w:basedOn w:val="Standardowy"/>
    <w:rsid w:val="006B609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1834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Autor</cp:lastModifiedBy>
  <cp:revision>118</cp:revision>
  <cp:lastPrinted>2024-04-09T07:23:00Z</cp:lastPrinted>
  <dcterms:created xsi:type="dcterms:W3CDTF">2021-09-09T11:16:00Z</dcterms:created>
  <dcterms:modified xsi:type="dcterms:W3CDTF">2024-04-17T08:20:00Z</dcterms:modified>
</cp:coreProperties>
</file>