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7A318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902E74">
        <w:rPr>
          <w:rFonts w:asciiTheme="minorHAnsi" w:hAnsiTheme="minorHAnsi" w:cstheme="minorHAnsi"/>
          <w:b/>
          <w:color w:val="auto"/>
          <w:sz w:val="20"/>
          <w:szCs w:val="20"/>
        </w:rPr>
        <w:t>sprzętu medycznego</w:t>
      </w:r>
      <w:r w:rsidR="00253AF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dla Oddziału </w:t>
      </w:r>
      <w:proofErr w:type="spellStart"/>
      <w:r w:rsidR="00253AF9">
        <w:rPr>
          <w:rFonts w:asciiTheme="minorHAnsi" w:hAnsiTheme="minorHAnsi" w:cstheme="minorHAnsi"/>
          <w:b/>
          <w:color w:val="auto"/>
          <w:sz w:val="20"/>
          <w:szCs w:val="20"/>
        </w:rPr>
        <w:t>AiIT</w:t>
      </w:r>
      <w:proofErr w:type="spellEnd"/>
      <w:r w:rsidR="00253AF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oraz Bloku Operacyjnego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023C2F" w:rsidP="00D4152A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Źródło finansowania – </w:t>
      </w:r>
      <w:r w:rsidR="0095523B" w:rsidRPr="0095523B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zamówienie realizowane z dotacji Województwa Wielkopolskiego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0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117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1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1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Pr="00870FF4" w:rsidRDefault="00F041F4" w:rsidP="004E7E62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0FF4">
        <w:rPr>
          <w:rFonts w:asciiTheme="minorHAnsi" w:hAnsiTheme="minorHAnsi" w:cstheme="minorHAnsi"/>
          <w:sz w:val="20"/>
          <w:szCs w:val="20"/>
        </w:rPr>
        <w:t xml:space="preserve">Przedmiot zamówienia ma być finansowany ze środków finansowych </w:t>
      </w:r>
      <w:r w:rsidR="00F3786E" w:rsidRPr="00870FF4">
        <w:rPr>
          <w:rFonts w:asciiTheme="minorHAnsi" w:hAnsiTheme="minorHAnsi" w:cstheme="minorHAnsi"/>
          <w:sz w:val="20"/>
          <w:szCs w:val="20"/>
        </w:rPr>
        <w:t xml:space="preserve">Województwa Wielkopolskiego </w:t>
      </w:r>
      <w:r w:rsidR="00075D37" w:rsidRPr="00870FF4">
        <w:rPr>
          <w:rFonts w:asciiTheme="minorHAnsi" w:hAnsiTheme="minorHAnsi" w:cstheme="minorHAnsi"/>
          <w:sz w:val="20"/>
          <w:szCs w:val="20"/>
        </w:rPr>
        <w:br/>
      </w:r>
      <w:r w:rsidR="00F3786E" w:rsidRPr="00870FF4">
        <w:rPr>
          <w:rFonts w:asciiTheme="minorHAnsi" w:hAnsiTheme="minorHAnsi" w:cstheme="minorHAnsi"/>
          <w:sz w:val="20"/>
          <w:szCs w:val="20"/>
        </w:rPr>
        <w:t>z przeznaczeniem na 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4E7E62" w:rsidRPr="004E7E62">
        <w:rPr>
          <w:rFonts w:asciiTheme="minorHAnsi" w:hAnsiTheme="minorHAnsi" w:cstheme="minorHAnsi"/>
          <w:b/>
          <w:color w:val="auto"/>
          <w:sz w:val="20"/>
          <w:szCs w:val="20"/>
        </w:rPr>
        <w:t>sprz</w:t>
      </w:r>
      <w:r w:rsidR="004E7E62" w:rsidRPr="004E7E62">
        <w:rPr>
          <w:rFonts w:asciiTheme="minorHAnsi" w:hAnsiTheme="minorHAnsi" w:cstheme="minorHAnsi" w:hint="cs"/>
          <w:b/>
          <w:color w:val="auto"/>
          <w:sz w:val="20"/>
          <w:szCs w:val="20"/>
        </w:rPr>
        <w:t>ę</w:t>
      </w:r>
      <w:r w:rsidR="004E7E62" w:rsidRPr="004E7E62">
        <w:rPr>
          <w:rFonts w:asciiTheme="minorHAnsi" w:hAnsiTheme="minorHAnsi" w:cstheme="minorHAnsi"/>
          <w:b/>
          <w:color w:val="auto"/>
          <w:sz w:val="20"/>
          <w:szCs w:val="20"/>
        </w:rPr>
        <w:t>tu medycznego</w:t>
      </w:r>
      <w:r w:rsidR="00F3786E" w:rsidRPr="00870FF4">
        <w:rPr>
          <w:rFonts w:asciiTheme="minorHAnsi" w:hAnsiTheme="minorHAnsi" w:cstheme="minorHAnsi"/>
          <w:sz w:val="20"/>
          <w:szCs w:val="20"/>
        </w:rPr>
        <w:t>”</w:t>
      </w:r>
      <w:r w:rsidR="00C25523" w:rsidRPr="00870FF4">
        <w:rPr>
          <w:rFonts w:asciiTheme="minorHAnsi" w:hAnsiTheme="minorHAnsi" w:cstheme="minorHAnsi"/>
          <w:sz w:val="20"/>
          <w:szCs w:val="20"/>
        </w:rPr>
        <w:t xml:space="preserve"> w ramach umowy nr </w:t>
      </w:r>
      <w:r w:rsidR="00E8732C">
        <w:rPr>
          <w:rFonts w:asciiTheme="minorHAnsi" w:hAnsiTheme="minorHAnsi" w:cstheme="minorHAnsi"/>
          <w:sz w:val="20"/>
          <w:szCs w:val="20"/>
        </w:rPr>
        <w:t>DZ-IV-A/15/W/2024</w:t>
      </w:r>
      <w:r w:rsidR="00F84269">
        <w:rPr>
          <w:rFonts w:asciiTheme="minorHAnsi" w:hAnsiTheme="minorHAnsi" w:cstheme="minorHAnsi"/>
          <w:sz w:val="20"/>
          <w:szCs w:val="20"/>
        </w:rPr>
        <w:t xml:space="preserve"> realizowanej w ramach przedsięwzięcia ujętego w Wieloletniej Prognozie Finansowej Województwa Wielkopolskiego pn. „Modernizacje Oddziału Anestezjologii i Intensywnej Terapii z zakupem sprzętu medycznego oraz doposażenie w sprzęt medyczny Bloku Operacyjnego”</w:t>
      </w:r>
      <w:r w:rsidR="00F3786E" w:rsidRPr="00870FF4">
        <w:rPr>
          <w:rFonts w:asciiTheme="minorHAnsi" w:hAnsiTheme="minorHAnsi" w:cstheme="minorHAnsi"/>
          <w:sz w:val="20"/>
          <w:szCs w:val="20"/>
        </w:rPr>
        <w:t>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2"/>
    </w:p>
    <w:p w:rsidR="0026376C" w:rsidRPr="00EC26AC" w:rsidRDefault="0026376C" w:rsidP="00EF1136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902E74" w:rsidRPr="00902E74">
        <w:rPr>
          <w:rFonts w:asciiTheme="minorHAnsi" w:hAnsiTheme="minorHAnsi" w:cstheme="minorHAnsi"/>
          <w:b/>
          <w:color w:val="auto"/>
          <w:sz w:val="20"/>
          <w:szCs w:val="20"/>
        </w:rPr>
        <w:t>sprz</w:t>
      </w:r>
      <w:r w:rsidR="00902E74" w:rsidRPr="00902E74">
        <w:rPr>
          <w:rFonts w:asciiTheme="minorHAnsi" w:hAnsiTheme="minorHAnsi" w:cstheme="minorHAnsi" w:hint="cs"/>
          <w:b/>
          <w:color w:val="auto"/>
          <w:sz w:val="20"/>
          <w:szCs w:val="20"/>
        </w:rPr>
        <w:t>ę</w:t>
      </w:r>
      <w:r w:rsidR="00902E74" w:rsidRPr="00902E74">
        <w:rPr>
          <w:rFonts w:asciiTheme="minorHAnsi" w:hAnsiTheme="minorHAnsi" w:cstheme="minorHAnsi"/>
          <w:b/>
          <w:color w:val="auto"/>
          <w:sz w:val="20"/>
          <w:szCs w:val="20"/>
        </w:rPr>
        <w:t>tu medycznego</w:t>
      </w:r>
      <w:r w:rsidR="00EF1136" w:rsidRPr="00EF1136">
        <w:t xml:space="preserve"> </w:t>
      </w:r>
      <w:r w:rsidR="00EF1136" w:rsidRPr="00EF1136">
        <w:rPr>
          <w:rFonts w:asciiTheme="minorHAnsi" w:hAnsiTheme="minorHAnsi" w:cstheme="minorHAnsi"/>
          <w:b/>
          <w:color w:val="auto"/>
          <w:sz w:val="20"/>
          <w:szCs w:val="20"/>
        </w:rPr>
        <w:t>dla Oddzia</w:t>
      </w:r>
      <w:r w:rsidR="00EF1136" w:rsidRPr="00EF1136">
        <w:rPr>
          <w:rFonts w:asciiTheme="minorHAnsi" w:hAnsiTheme="minorHAnsi" w:cstheme="minorHAnsi" w:hint="cs"/>
          <w:b/>
          <w:color w:val="auto"/>
          <w:sz w:val="20"/>
          <w:szCs w:val="20"/>
        </w:rPr>
        <w:t>ł</w:t>
      </w:r>
      <w:r w:rsidR="00EF1136" w:rsidRPr="00EF1136">
        <w:rPr>
          <w:rFonts w:asciiTheme="minorHAnsi" w:hAnsiTheme="minorHAnsi" w:cstheme="minorHAnsi"/>
          <w:b/>
          <w:color w:val="auto"/>
          <w:sz w:val="20"/>
          <w:szCs w:val="20"/>
        </w:rPr>
        <w:t xml:space="preserve">u </w:t>
      </w:r>
      <w:proofErr w:type="spellStart"/>
      <w:r w:rsidR="00EF1136" w:rsidRPr="00EF1136">
        <w:rPr>
          <w:rFonts w:asciiTheme="minorHAnsi" w:hAnsiTheme="minorHAnsi" w:cstheme="minorHAnsi"/>
          <w:b/>
          <w:color w:val="auto"/>
          <w:sz w:val="20"/>
          <w:szCs w:val="20"/>
        </w:rPr>
        <w:t>AiIT</w:t>
      </w:r>
      <w:proofErr w:type="spellEnd"/>
      <w:r w:rsidR="00EF1136" w:rsidRPr="00EF113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oraz Bloku Operacyjnego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</w:p>
    <w:tbl>
      <w:tblPr>
        <w:tblW w:w="853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110"/>
        <w:gridCol w:w="1985"/>
      </w:tblGrid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Nr pakietu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Przedmiot dostawy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7E6020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6020">
              <w:rPr>
                <w:rFonts w:asciiTheme="minorHAnsi" w:hAnsiTheme="minorHAnsi" w:cstheme="minorHAnsi"/>
                <w:sz w:val="20"/>
                <w:szCs w:val="20"/>
              </w:rPr>
              <w:t>Defibrylator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795A9B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5A9B">
              <w:rPr>
                <w:rFonts w:asciiTheme="minorHAnsi" w:hAnsiTheme="minorHAnsi" w:cstheme="minorHAnsi"/>
                <w:sz w:val="20"/>
                <w:szCs w:val="20"/>
              </w:rPr>
              <w:t>Respirator transportowy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795A9B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137681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7681">
              <w:rPr>
                <w:rFonts w:asciiTheme="minorHAnsi" w:hAnsiTheme="minorHAnsi" w:cstheme="minorHAnsi"/>
                <w:sz w:val="20"/>
                <w:szCs w:val="20"/>
              </w:rPr>
              <w:t>Aparat USG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137681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4B09BB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09BB">
              <w:rPr>
                <w:rFonts w:asciiTheme="minorHAnsi" w:hAnsiTheme="minorHAnsi" w:cstheme="minorHAnsi"/>
                <w:sz w:val="20"/>
                <w:szCs w:val="20"/>
              </w:rPr>
              <w:t>Aparat EKG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4B09BB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877739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77739">
              <w:rPr>
                <w:rFonts w:asciiTheme="minorHAnsi" w:hAnsiTheme="minorHAnsi" w:cstheme="minorHAnsi"/>
                <w:sz w:val="20"/>
                <w:szCs w:val="20"/>
              </w:rPr>
              <w:t>Wideolaryngoskop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877739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77739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77739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877739" w:rsidRDefault="008E2F07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2F07">
              <w:rPr>
                <w:rFonts w:asciiTheme="minorHAnsi" w:hAnsiTheme="minorHAnsi" w:cstheme="minorHAnsi"/>
                <w:sz w:val="20"/>
                <w:szCs w:val="20"/>
              </w:rPr>
              <w:t xml:space="preserve">Laryngoskop dla </w:t>
            </w:r>
            <w:proofErr w:type="spellStart"/>
            <w:r w:rsidRPr="008E2F07">
              <w:rPr>
                <w:rFonts w:asciiTheme="minorHAnsi" w:hAnsiTheme="minorHAnsi" w:cstheme="minorHAnsi"/>
                <w:sz w:val="20"/>
                <w:szCs w:val="20"/>
              </w:rPr>
              <w:t>AiIT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E2F07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77739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77739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877739" w:rsidRDefault="008E2F07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2F07">
              <w:rPr>
                <w:rFonts w:asciiTheme="minorHAnsi" w:hAnsiTheme="minorHAnsi" w:cstheme="minorHAnsi"/>
                <w:sz w:val="20"/>
                <w:szCs w:val="20"/>
              </w:rPr>
              <w:t>Laryngoskop dla BO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E2F07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9B053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053C">
              <w:rPr>
                <w:rFonts w:asciiTheme="minorHAnsi" w:hAnsiTheme="minorHAnsi" w:cstheme="minorHAnsi"/>
                <w:sz w:val="20"/>
                <w:szCs w:val="20"/>
              </w:rPr>
              <w:t>Ssak elektryczny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9B053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9B053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053C">
              <w:rPr>
                <w:rFonts w:asciiTheme="minorHAnsi" w:hAnsiTheme="minorHAnsi" w:cstheme="minorHAnsi"/>
                <w:sz w:val="20"/>
                <w:szCs w:val="20"/>
              </w:rPr>
              <w:t>Mobilny ssak elektryczny chirurgiczny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9B053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9B053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053C">
              <w:rPr>
                <w:rFonts w:asciiTheme="minorHAnsi" w:hAnsiTheme="minorHAnsi" w:cstheme="minorHAnsi"/>
                <w:sz w:val="20"/>
                <w:szCs w:val="20"/>
              </w:rPr>
              <w:t xml:space="preserve">PAKIET NR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B13413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3413">
              <w:rPr>
                <w:rFonts w:asciiTheme="minorHAnsi" w:hAnsiTheme="minorHAnsi" w:cstheme="minorHAnsi"/>
                <w:sz w:val="20"/>
                <w:szCs w:val="20"/>
              </w:rPr>
              <w:t>Urz</w:t>
            </w:r>
            <w:r w:rsidRPr="00B13413">
              <w:rPr>
                <w:rFonts w:asciiTheme="minorHAnsi" w:hAnsiTheme="minorHAnsi" w:cstheme="minorHAnsi" w:hint="cs"/>
                <w:sz w:val="20"/>
                <w:szCs w:val="20"/>
              </w:rPr>
              <w:t>ą</w:t>
            </w:r>
            <w:r w:rsidRPr="00B13413">
              <w:rPr>
                <w:rFonts w:asciiTheme="minorHAnsi" w:hAnsiTheme="minorHAnsi" w:cstheme="minorHAnsi"/>
                <w:sz w:val="20"/>
                <w:szCs w:val="20"/>
              </w:rPr>
              <w:t>dzenie do pomiaru g</w:t>
            </w:r>
            <w:r w:rsidRPr="00B13413">
              <w:rPr>
                <w:rFonts w:asciiTheme="minorHAnsi" w:hAnsiTheme="minorHAnsi" w:cstheme="minorHAnsi" w:hint="cs"/>
                <w:sz w:val="20"/>
                <w:szCs w:val="20"/>
              </w:rPr>
              <w:t>łę</w:t>
            </w:r>
            <w:r w:rsidRPr="00B13413">
              <w:rPr>
                <w:rFonts w:asciiTheme="minorHAnsi" w:hAnsiTheme="minorHAnsi" w:cstheme="minorHAnsi"/>
                <w:sz w:val="20"/>
                <w:szCs w:val="20"/>
              </w:rPr>
              <w:t>boko</w:t>
            </w:r>
            <w:r w:rsidRPr="00B13413">
              <w:rPr>
                <w:rFonts w:asciiTheme="minorHAnsi" w:hAnsiTheme="minorHAnsi" w:cstheme="minorHAnsi" w:hint="cs"/>
                <w:sz w:val="20"/>
                <w:szCs w:val="20"/>
              </w:rPr>
              <w:t>ś</w:t>
            </w:r>
            <w:r w:rsidRPr="00B13413">
              <w:rPr>
                <w:rFonts w:asciiTheme="minorHAnsi" w:hAnsiTheme="minorHAnsi" w:cstheme="minorHAnsi"/>
                <w:sz w:val="20"/>
                <w:szCs w:val="20"/>
              </w:rPr>
              <w:t>ci znieczulenia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C" w:rsidRPr="00EC26AC" w:rsidRDefault="00A165D3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B053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C" w:rsidRDefault="009B053C"/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C" w:rsidRPr="00EC26AC" w:rsidRDefault="00A165D3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5D3">
              <w:rPr>
                <w:rFonts w:asciiTheme="minorHAnsi" w:hAnsiTheme="minorHAnsi" w:cstheme="minorHAnsi"/>
                <w:sz w:val="20"/>
                <w:szCs w:val="20"/>
              </w:rPr>
              <w:t xml:space="preserve">TOF </w:t>
            </w:r>
            <w:r w:rsidRPr="00A165D3">
              <w:rPr>
                <w:rFonts w:asciiTheme="minorHAnsi" w:hAnsiTheme="minorHAnsi" w:cstheme="minorHAnsi" w:hint="cs"/>
                <w:sz w:val="20"/>
                <w:szCs w:val="20"/>
              </w:rPr>
              <w:t>–</w:t>
            </w:r>
            <w:r w:rsidRPr="00A165D3">
              <w:rPr>
                <w:rFonts w:asciiTheme="minorHAnsi" w:hAnsiTheme="minorHAnsi" w:cstheme="minorHAnsi"/>
                <w:sz w:val="20"/>
                <w:szCs w:val="20"/>
              </w:rPr>
              <w:t xml:space="preserve"> pomiar zwiotczenia mi</w:t>
            </w:r>
            <w:r w:rsidRPr="00A165D3">
              <w:rPr>
                <w:rFonts w:asciiTheme="minorHAnsi" w:hAnsiTheme="minorHAnsi" w:cstheme="minorHAnsi" w:hint="cs"/>
                <w:sz w:val="20"/>
                <w:szCs w:val="20"/>
              </w:rPr>
              <w:t>ęś</w:t>
            </w:r>
            <w:r w:rsidRPr="00A165D3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C" w:rsidRPr="00EC26AC" w:rsidRDefault="00A165D3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B053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C" w:rsidRDefault="009B053C">
            <w:r w:rsidRPr="00E8598C">
              <w:rPr>
                <w:rFonts w:asciiTheme="minorHAnsi" w:hAnsiTheme="minorHAnsi" w:cstheme="minorHAnsi"/>
                <w:sz w:val="20"/>
                <w:szCs w:val="20"/>
              </w:rPr>
              <w:t xml:space="preserve">PAKIET NR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C" w:rsidRPr="00EC26AC" w:rsidRDefault="00A165D3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65D3">
              <w:rPr>
                <w:rFonts w:asciiTheme="minorHAnsi" w:hAnsiTheme="minorHAnsi" w:cstheme="minorHAnsi"/>
                <w:sz w:val="20"/>
                <w:szCs w:val="20"/>
              </w:rPr>
              <w:t>Pulsoksymetr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3C" w:rsidRPr="00EC26AC" w:rsidRDefault="00A165D3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C26AC" w:rsidRDefault="00AD7592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AD7592">
        <w:rPr>
          <w:rFonts w:asciiTheme="minorHAnsi" w:hAnsiTheme="minorHAnsi" w:cstheme="minorHAnsi"/>
          <w:sz w:val="20"/>
          <w:szCs w:val="20"/>
        </w:rPr>
        <w:t>Szczeg</w:t>
      </w:r>
      <w:r w:rsidRPr="00AD7592">
        <w:rPr>
          <w:rFonts w:asciiTheme="minorHAnsi" w:hAnsiTheme="minorHAnsi" w:cstheme="minorHAnsi" w:hint="cs"/>
          <w:sz w:val="20"/>
          <w:szCs w:val="20"/>
        </w:rPr>
        <w:t>ół</w:t>
      </w:r>
      <w:r w:rsidRPr="00AD7592">
        <w:rPr>
          <w:rFonts w:asciiTheme="minorHAnsi" w:hAnsiTheme="minorHAnsi" w:cstheme="minorHAnsi"/>
          <w:sz w:val="20"/>
          <w:szCs w:val="20"/>
        </w:rPr>
        <w:t>owy opis znajduje si</w:t>
      </w:r>
      <w:r w:rsidRPr="00AD7592">
        <w:rPr>
          <w:rFonts w:asciiTheme="minorHAnsi" w:hAnsiTheme="minorHAnsi" w:cstheme="minorHAnsi" w:hint="cs"/>
          <w:sz w:val="20"/>
          <w:szCs w:val="20"/>
        </w:rPr>
        <w:t>ę</w:t>
      </w:r>
      <w:r w:rsidRPr="00AD7592">
        <w:rPr>
          <w:rFonts w:asciiTheme="minorHAnsi" w:hAnsiTheme="minorHAnsi" w:cstheme="minorHAnsi"/>
          <w:sz w:val="20"/>
          <w:szCs w:val="20"/>
        </w:rPr>
        <w:t xml:space="preserve">  w za</w:t>
      </w:r>
      <w:r w:rsidRPr="00AD7592">
        <w:rPr>
          <w:rFonts w:asciiTheme="minorHAnsi" w:hAnsiTheme="minorHAnsi" w:cstheme="minorHAnsi" w:hint="cs"/>
          <w:sz w:val="20"/>
          <w:szCs w:val="20"/>
        </w:rPr>
        <w:t>łą</w:t>
      </w:r>
      <w:r w:rsidRPr="00AD7592">
        <w:rPr>
          <w:rFonts w:asciiTheme="minorHAnsi" w:hAnsiTheme="minorHAnsi" w:cstheme="minorHAnsi"/>
          <w:sz w:val="20"/>
          <w:szCs w:val="20"/>
        </w:rPr>
        <w:t xml:space="preserve">czniku nr 1 </w:t>
      </w:r>
      <w:r w:rsidRPr="00AD7592">
        <w:rPr>
          <w:rFonts w:asciiTheme="minorHAnsi" w:hAnsiTheme="minorHAnsi" w:cstheme="minorHAnsi" w:hint="cs"/>
          <w:sz w:val="20"/>
          <w:szCs w:val="20"/>
        </w:rPr>
        <w:t>–</w:t>
      </w:r>
      <w:r w:rsidRPr="00AD7592">
        <w:rPr>
          <w:rFonts w:asciiTheme="minorHAnsi" w:hAnsiTheme="minorHAnsi" w:cstheme="minorHAnsi"/>
          <w:sz w:val="20"/>
          <w:szCs w:val="20"/>
        </w:rPr>
        <w:t xml:space="preserve"> Opis przedmiotu zam</w:t>
      </w:r>
      <w:r w:rsidRPr="00AD7592">
        <w:rPr>
          <w:rFonts w:asciiTheme="minorHAnsi" w:hAnsiTheme="minorHAnsi" w:cstheme="minorHAnsi" w:hint="cs"/>
          <w:sz w:val="20"/>
          <w:szCs w:val="20"/>
        </w:rPr>
        <w:t>ó</w:t>
      </w:r>
      <w:r w:rsidRPr="00AD7592">
        <w:rPr>
          <w:rFonts w:asciiTheme="minorHAnsi" w:hAnsiTheme="minorHAnsi" w:cstheme="minorHAnsi"/>
          <w:sz w:val="20"/>
          <w:szCs w:val="20"/>
        </w:rPr>
        <w:t>wienia.</w:t>
      </w:r>
    </w:p>
    <w:p w:rsidR="0071176E" w:rsidRPr="00D071B6" w:rsidRDefault="0071176E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bookmarkStart w:id="3" w:name="_GoBack"/>
      <w:bookmarkEnd w:id="3"/>
    </w:p>
    <w:p w:rsidR="00684CF3" w:rsidRDefault="00684CF3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iCs/>
          <w:sz w:val="20"/>
          <w:szCs w:val="20"/>
        </w:rPr>
        <w:t>Zamawiaj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>cy dopuszcza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liwo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ść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ciowych na wybran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ęść</w:t>
      </w:r>
      <w:r w:rsidRPr="00684CF3">
        <w:rPr>
          <w:rFonts w:asciiTheme="minorHAnsi" w:hAnsiTheme="minorHAnsi" w:cstheme="minorHAnsi"/>
          <w:iCs/>
          <w:sz w:val="20"/>
          <w:szCs w:val="20"/>
        </w:rPr>
        <w:t>/cz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 Zam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wienie zosta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o podzielone na </w:t>
      </w:r>
      <w:r w:rsidR="00902E74">
        <w:rPr>
          <w:rFonts w:asciiTheme="minorHAnsi" w:hAnsiTheme="minorHAnsi" w:cstheme="minorHAnsi"/>
          <w:iCs/>
          <w:sz w:val="20"/>
          <w:szCs w:val="20"/>
        </w:rPr>
        <w:t>5 pakietów</w:t>
      </w:r>
      <w:r w:rsidRPr="00684CF3">
        <w:rPr>
          <w:rFonts w:asciiTheme="minorHAnsi" w:hAnsiTheme="minorHAnsi" w:cstheme="minorHAnsi"/>
          <w:iCs/>
          <w:sz w:val="20"/>
          <w:szCs w:val="20"/>
        </w:rPr>
        <w:t>. Oferty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na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w odniesieniu do wszystkich lub niekt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rych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</w:t>
      </w:r>
    </w:p>
    <w:p w:rsidR="0026376C" w:rsidRPr="00684CF3" w:rsidRDefault="0026376C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84CF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84CF3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D37190" w:rsidRDefault="00D37190" w:rsidP="00D37190">
      <w:pPr>
        <w:pStyle w:val="Akapitzlist"/>
        <w:suppressAutoHyphens w:val="0"/>
        <w:ind w:left="644"/>
        <w:rPr>
          <w:rFonts w:ascii="Verdana" w:hAnsi="Verdana"/>
          <w:color w:val="auto"/>
          <w:sz w:val="20"/>
          <w:szCs w:val="20"/>
        </w:rPr>
      </w:pPr>
    </w:p>
    <w:p w:rsidR="00D37190" w:rsidRPr="004E7E62" w:rsidRDefault="004309E6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1</w:t>
      </w:r>
    </w:p>
    <w:p w:rsidR="00D37190" w:rsidRPr="004E7E62" w:rsidRDefault="00D37190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E7E62">
        <w:rPr>
          <w:rFonts w:asciiTheme="minorHAnsi" w:hAnsiTheme="minorHAnsi" w:cstheme="minorHAnsi"/>
          <w:sz w:val="20"/>
          <w:szCs w:val="20"/>
        </w:rPr>
        <w:t xml:space="preserve">33182100-0 </w:t>
      </w:r>
      <w:r w:rsidR="004309E6" w:rsidRPr="004E7E62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Pr="004E7E62">
        <w:rPr>
          <w:rFonts w:asciiTheme="minorHAnsi" w:hAnsiTheme="minorHAnsi" w:cstheme="minorHAnsi"/>
          <w:color w:val="auto"/>
          <w:sz w:val="20"/>
          <w:szCs w:val="20"/>
        </w:rPr>
        <w:t xml:space="preserve"> Defibrylatory</w:t>
      </w:r>
    </w:p>
    <w:p w:rsidR="00BB5DA9" w:rsidRPr="004E7E62" w:rsidRDefault="00584151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E7E62">
        <w:rPr>
          <w:rFonts w:asciiTheme="minorHAnsi" w:hAnsiTheme="minorHAnsi" w:cstheme="minorHAnsi"/>
          <w:color w:val="auto"/>
          <w:sz w:val="20"/>
          <w:szCs w:val="20"/>
        </w:rPr>
        <w:t>33157400-9– Medyczna aparatura oddechowa</w:t>
      </w:r>
    </w:p>
    <w:p w:rsidR="00BB5DA9" w:rsidRPr="004E7E62" w:rsidRDefault="00BB5DA9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E7E62">
        <w:rPr>
          <w:rFonts w:asciiTheme="minorHAnsi" w:hAnsiTheme="minorHAnsi" w:cstheme="minorHAnsi"/>
          <w:color w:val="auto"/>
          <w:sz w:val="20"/>
          <w:szCs w:val="20"/>
        </w:rPr>
        <w:t>33112200-0 - Aparaty ultrasonograficzne</w:t>
      </w:r>
    </w:p>
    <w:p w:rsidR="00D7579E" w:rsidRPr="007242FE" w:rsidRDefault="007A2CE5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42FE">
        <w:rPr>
          <w:rFonts w:asciiTheme="minorHAnsi" w:hAnsiTheme="minorHAnsi" w:cstheme="minorHAnsi"/>
          <w:color w:val="auto"/>
          <w:sz w:val="20"/>
          <w:szCs w:val="20"/>
        </w:rPr>
        <w:t xml:space="preserve">33121500-9 - </w:t>
      </w:r>
      <w:r w:rsidR="00630A77" w:rsidRPr="007242FE">
        <w:rPr>
          <w:rFonts w:asciiTheme="minorHAnsi" w:hAnsiTheme="minorHAnsi" w:cstheme="minorHAnsi"/>
          <w:color w:val="auto"/>
          <w:sz w:val="20"/>
          <w:szCs w:val="20"/>
        </w:rPr>
        <w:t>Elektrokardio</w:t>
      </w:r>
      <w:r w:rsidRPr="007242FE">
        <w:rPr>
          <w:rFonts w:asciiTheme="minorHAnsi" w:hAnsiTheme="minorHAnsi" w:cstheme="minorHAnsi"/>
          <w:color w:val="auto"/>
          <w:sz w:val="20"/>
          <w:szCs w:val="20"/>
        </w:rPr>
        <w:t>g</w:t>
      </w:r>
      <w:r w:rsidR="00630A77" w:rsidRPr="007242FE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7242FE">
        <w:rPr>
          <w:rFonts w:asciiTheme="minorHAnsi" w:hAnsiTheme="minorHAnsi" w:cstheme="minorHAnsi"/>
          <w:color w:val="auto"/>
          <w:sz w:val="20"/>
          <w:szCs w:val="20"/>
        </w:rPr>
        <w:t>am</w:t>
      </w:r>
    </w:p>
    <w:p w:rsidR="009F3D1F" w:rsidRPr="004E7E62" w:rsidRDefault="009F3D1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lastRenderedPageBreak/>
        <w:t>Pakiet nr 2</w:t>
      </w:r>
    </w:p>
    <w:p w:rsidR="009F3D1F" w:rsidRPr="004E7E62" w:rsidRDefault="006F1E6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E7E62">
        <w:rPr>
          <w:rFonts w:asciiTheme="minorHAnsi" w:hAnsiTheme="minorHAnsi" w:cstheme="minorHAnsi"/>
          <w:color w:val="auto"/>
          <w:sz w:val="20"/>
          <w:szCs w:val="20"/>
        </w:rPr>
        <w:t>33172000- 6 – Urządzenia do anestezji i resuscytacji</w:t>
      </w:r>
    </w:p>
    <w:p w:rsidR="009F3D1F" w:rsidRDefault="009F3D1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3</w:t>
      </w:r>
    </w:p>
    <w:p w:rsidR="0045117E" w:rsidRPr="00F6000A" w:rsidRDefault="00C3773E" w:rsidP="00F6000A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242FE">
        <w:rPr>
          <w:rFonts w:asciiTheme="minorHAnsi" w:hAnsiTheme="minorHAnsi" w:cstheme="minorHAnsi"/>
          <w:color w:val="auto"/>
          <w:sz w:val="20"/>
          <w:szCs w:val="20"/>
        </w:rPr>
        <w:t xml:space="preserve">33162100-4 </w:t>
      </w:r>
      <w:r w:rsidR="00F6000A" w:rsidRPr="007242FE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Pr="007242F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6000A" w:rsidRPr="007242FE">
        <w:rPr>
          <w:rFonts w:asciiTheme="minorHAnsi" w:hAnsiTheme="minorHAnsi" w:cstheme="minorHAnsi"/>
          <w:color w:val="auto"/>
          <w:sz w:val="20"/>
          <w:szCs w:val="20"/>
        </w:rPr>
        <w:t>urządzenia używane na salach operacyjnych</w:t>
      </w:r>
    </w:p>
    <w:p w:rsidR="007E6020" w:rsidRPr="004E7E62" w:rsidRDefault="007E6020" w:rsidP="007E602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4</w:t>
      </w:r>
    </w:p>
    <w:p w:rsidR="00D37190" w:rsidRPr="004E7E62" w:rsidRDefault="007E6020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  <w:r w:rsidRPr="004E7E62">
        <w:rPr>
          <w:rFonts w:asciiTheme="minorHAnsi" w:hAnsiTheme="minorHAnsi" w:cstheme="minorHAnsi"/>
          <w:color w:val="auto"/>
          <w:sz w:val="20"/>
          <w:szCs w:val="20"/>
        </w:rPr>
        <w:t>33172100-7 - Urządzenia do anestezji</w:t>
      </w:r>
    </w:p>
    <w:p w:rsidR="009F3D1F" w:rsidRPr="004E7E62" w:rsidRDefault="009F3D1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5</w:t>
      </w:r>
    </w:p>
    <w:p w:rsidR="00F6000A" w:rsidRPr="007242FE" w:rsidRDefault="00F6000A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  <w:r w:rsidRPr="007242FE">
        <w:rPr>
          <w:rFonts w:asciiTheme="minorHAnsi" w:hAnsiTheme="minorHAnsi" w:cstheme="minorHAnsi"/>
          <w:color w:val="auto"/>
          <w:sz w:val="20"/>
          <w:szCs w:val="20"/>
        </w:rPr>
        <w:t>33195000-3 – System monitorowania pacjentów</w:t>
      </w:r>
    </w:p>
    <w:p w:rsidR="00733D64" w:rsidRPr="004E7E62" w:rsidRDefault="00733D64" w:rsidP="007E6020">
      <w:pPr>
        <w:pStyle w:val="Akapitzlist"/>
        <w:suppressAutoHyphens w:val="0"/>
        <w:ind w:left="644"/>
        <w:rPr>
          <w:rFonts w:asciiTheme="minorHAnsi" w:hAnsiTheme="minorHAnsi" w:cstheme="minorHAnsi"/>
          <w:color w:val="auto"/>
          <w:sz w:val="20"/>
          <w:szCs w:val="20"/>
        </w:rPr>
      </w:pP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4"/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95523B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95523B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95523B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5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Termin wykonania zamówienia</w:t>
      </w:r>
      <w:bookmarkEnd w:id="5"/>
    </w:p>
    <w:p w:rsidR="000E38EC" w:rsidRPr="0095523B" w:rsidRDefault="006A7EA6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60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CD60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6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6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lastRenderedPageBreak/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7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9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9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0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Pr="0095523B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363A8E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1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1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2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9F069A">
        <w:rPr>
          <w:rFonts w:asciiTheme="minorHAnsi" w:hAnsiTheme="minorHAnsi" w:cstheme="minorHAnsi"/>
          <w:sz w:val="20"/>
          <w:szCs w:val="20"/>
        </w:rPr>
        <w:t xml:space="preserve"> Sylwia Zielińska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154C93">
        <w:rPr>
          <w:rFonts w:asciiTheme="minorHAnsi" w:hAnsiTheme="minorHAnsi" w:cstheme="minorHAnsi"/>
          <w:sz w:val="20"/>
          <w:szCs w:val="20"/>
        </w:rPr>
        <w:t>336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3"/>
    </w:p>
    <w:p w:rsidR="003A3ABA" w:rsidRPr="007539B0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A616F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25.06.</w:t>
      </w:r>
      <w:r w:rsidR="008705DD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7539B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27.05.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7539B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Termin otwarcia ofert: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27.05.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BF798C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F79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formie pisemnej wnosi się za pośrednictwem operatora pocztowego, w rozumieniu ustawy z dnia 23 listopada 2012 r. - Prawo pocztowe, osobiście, za pośrednictwem posłańca, a pisma w postaci </w:t>
      </w:r>
      <w:r w:rsidRPr="00FE29A3">
        <w:rPr>
          <w:rFonts w:asciiTheme="minorHAnsi" w:hAnsiTheme="minorHAnsi" w:cstheme="minorHAnsi"/>
          <w:sz w:val="20"/>
          <w:szCs w:val="20"/>
        </w:rPr>
        <w:lastRenderedPageBreak/>
        <w:t>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6A7EA6" w:rsidRDefault="00BA74E3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16.05.</w:t>
      </w:r>
      <w:r w:rsidR="00D42CE0" w:rsidRPr="006A7EA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A002FE" w:rsidRPr="006A7EA6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88162B" w:rsidRPr="006A7EA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sectPr w:rsidR="0088162B" w:rsidRPr="006A7EA6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8E" w:rsidRDefault="00363A8E">
      <w:r>
        <w:separator/>
      </w:r>
    </w:p>
    <w:p w:rsidR="00363A8E" w:rsidRDefault="00363A8E"/>
  </w:endnote>
  <w:endnote w:type="continuationSeparator" w:id="0">
    <w:p w:rsidR="00363A8E" w:rsidRDefault="00363A8E">
      <w:r>
        <w:continuationSeparator/>
      </w:r>
    </w:p>
    <w:p w:rsidR="00363A8E" w:rsidRDefault="00363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E73DFC">
      <w:rPr>
        <w:rFonts w:ascii="Times New Roman" w:hAnsi="Times New Roman"/>
        <w:b/>
        <w:noProof/>
        <w:sz w:val="14"/>
        <w:szCs w:val="14"/>
      </w:rPr>
      <w:t>4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E73DFC">
      <w:rPr>
        <w:rFonts w:ascii="Times New Roman" w:hAnsi="Times New Roman"/>
        <w:noProof/>
        <w:sz w:val="14"/>
        <w:szCs w:val="14"/>
      </w:rPr>
      <w:t>9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8E" w:rsidRDefault="00363A8E">
      <w:r>
        <w:separator/>
      </w:r>
    </w:p>
    <w:p w:rsidR="00363A8E" w:rsidRDefault="00363A8E"/>
  </w:footnote>
  <w:footnote w:type="continuationSeparator" w:id="0">
    <w:p w:rsidR="00363A8E" w:rsidRDefault="00363A8E">
      <w:r>
        <w:continuationSeparator/>
      </w:r>
    </w:p>
    <w:p w:rsidR="00363A8E" w:rsidRDefault="00363A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C3D01">
      <w:rPr>
        <w:rFonts w:ascii="Verdana" w:hAnsi="Verdana"/>
        <w:sz w:val="20"/>
        <w:szCs w:val="20"/>
      </w:rPr>
      <w:t>37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5682-3C9E-4DB8-B677-A543FF83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3760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26271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36</cp:revision>
  <cp:lastPrinted>2024-05-16T06:41:00Z</cp:lastPrinted>
  <dcterms:created xsi:type="dcterms:W3CDTF">2024-05-09T11:23:00Z</dcterms:created>
  <dcterms:modified xsi:type="dcterms:W3CDTF">2024-05-16T06:41:00Z</dcterms:modified>
</cp:coreProperties>
</file>