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0B006B">
        <w:rPr>
          <w:rFonts w:ascii="Verdana" w:hAnsi="Verdana"/>
          <w:sz w:val="20"/>
          <w:szCs w:val="20"/>
        </w:rPr>
        <w:t>38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0B006B">
        <w:rPr>
          <w:rFonts w:ascii="Verdana" w:hAnsi="Verdana"/>
          <w:sz w:val="20"/>
          <w:szCs w:val="20"/>
        </w:rPr>
        <w:t>2</w:t>
      </w:r>
      <w:r w:rsidR="00585279">
        <w:rPr>
          <w:rFonts w:ascii="Verdana" w:hAnsi="Verdana"/>
          <w:sz w:val="20"/>
          <w:szCs w:val="20"/>
        </w:rPr>
        <w:t>8.05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900D38" w:rsidP="00FD01AF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</w:t>
      </w:r>
      <w:r w:rsidR="00B128A4"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081C4D">
        <w:rPr>
          <w:rFonts w:ascii="Verdana" w:hAnsi="Verdana"/>
          <w:b/>
          <w:sz w:val="20"/>
          <w:szCs w:val="20"/>
        </w:rPr>
        <w:t>leków</w:t>
      </w:r>
      <w:r w:rsidR="000B006B">
        <w:rPr>
          <w:rFonts w:ascii="Verdana" w:hAnsi="Verdana"/>
          <w:b/>
          <w:sz w:val="20"/>
          <w:szCs w:val="20"/>
        </w:rPr>
        <w:t xml:space="preserve"> do programów lekowych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3D3442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>
        <w:rPr>
          <w:rFonts w:ascii="Verdana" w:hAnsi="Verdana" w:cstheme="minorHAnsi"/>
          <w:b w:val="0"/>
          <w:sz w:val="20"/>
          <w:szCs w:val="20"/>
        </w:rPr>
        <w:t>11 września 2019 r</w:t>
      </w:r>
      <w:r>
        <w:rPr>
          <w:rFonts w:ascii="Verdana" w:hAnsi="Verdana"/>
          <w:b w:val="0"/>
          <w:sz w:val="20"/>
          <w:szCs w:val="20"/>
        </w:rPr>
        <w:t xml:space="preserve">. </w:t>
      </w:r>
      <w:r>
        <w:rPr>
          <w:rStyle w:val="Pogrubienie"/>
          <w:rFonts w:ascii="Verdana" w:hAnsi="Verdana" w:cstheme="minorHAnsi"/>
          <w:sz w:val="20"/>
          <w:szCs w:val="20"/>
        </w:rPr>
        <w:t>(</w:t>
      </w:r>
      <w:proofErr w:type="spellStart"/>
      <w:r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>
        <w:rPr>
          <w:rStyle w:val="Pogrubienie"/>
          <w:rFonts w:ascii="Verdana" w:hAnsi="Verdana"/>
          <w:sz w:val="20"/>
          <w:szCs w:val="20"/>
        </w:rPr>
        <w:t>. z 2021 r. poz. 1129</w:t>
      </w:r>
      <w:r>
        <w:rPr>
          <w:rFonts w:ascii="Verdana" w:hAnsi="Verdana" w:cstheme="minorHAnsi"/>
          <w:b w:val="0"/>
          <w:sz w:val="20"/>
          <w:szCs w:val="20"/>
        </w:rPr>
        <w:t xml:space="preserve"> ze zm.) </w:t>
      </w:r>
      <w:r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Specyfikacji Warunków Zamówienia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784C4A" w:rsidRDefault="0033025A" w:rsidP="00784C4A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1</w:t>
      </w:r>
      <w:r w:rsidR="00784C4A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784C4A" w:rsidRDefault="00784C4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0B006B" w:rsidRDefault="000B006B" w:rsidP="000B006B">
      <w:pPr>
        <w:rPr>
          <w:rFonts w:ascii="Poppins" w:hAnsi="Poppins" w:cs="Poppins"/>
          <w:color w:val="000000"/>
          <w:sz w:val="20"/>
          <w:szCs w:val="20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0B006B" w:rsidRDefault="000B006B" w:rsidP="000B006B">
      <w:pPr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0B006B" w:rsidRDefault="000B006B" w:rsidP="000B006B">
      <w:pPr>
        <w:ind w:left="720"/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0B006B" w:rsidRDefault="000B006B" w:rsidP="000B006B">
      <w:pPr>
        <w:ind w:left="720"/>
        <w:rPr>
          <w:rFonts w:ascii="Poppins" w:hAnsi="Poppins" w:cs="Poppins"/>
          <w:sz w:val="20"/>
          <w:szCs w:val="20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lastRenderedPageBreak/>
        <w:t>Do §3 ust. 15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 dodanie zastrzeżenia, że w przypadku, gdy strony nie dojdą do porozumienia w zakresie zmiany wynagrodzenia Wykonawcy w oparciu o §3 ust. 15 wzoru umowy, zarówno Wykonawca jaki i Zamawiający nabędą uprawnienie do rozwiązania w tej części umowy za porozumieniem stron, z zachowaniem jednomiesięcznego okresu wypowiedzenia, bez obowiązku ponoszenia z tego tytułu kar umownych.</w:t>
      </w:r>
    </w:p>
    <w:p w:rsidR="000B006B" w:rsidRDefault="000B006B" w:rsidP="000B006B">
      <w:pPr>
        <w:ind w:left="720"/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0B006B" w:rsidRDefault="000B006B" w:rsidP="000B006B">
      <w:pPr>
        <w:rPr>
          <w:rFonts w:ascii="Poppins" w:hAnsi="Poppins" w:cs="Poppins"/>
          <w:color w:val="000000"/>
          <w:sz w:val="20"/>
          <w:szCs w:val="20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0B006B" w:rsidRDefault="000B006B" w:rsidP="000B006B">
      <w:pPr>
        <w:rPr>
          <w:rFonts w:cs="Calibri"/>
        </w:rPr>
      </w:pPr>
    </w:p>
    <w:p w:rsidR="000B006B" w:rsidRDefault="000B006B" w:rsidP="000B006B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§4 ust. 6 wzoru umowy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</w:rPr>
        <w:t xml:space="preserve">: </w:t>
      </w:r>
      <w:r>
        <w:rPr>
          <w:rFonts w:ascii="Poppins" w:eastAsia="Times New Roman" w:hAnsi="Poppins" w:cs="Poppins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Poppins" w:eastAsia="Times New Roman" w:hAnsi="Poppins" w:cs="Poppins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</w:rPr>
        <w:t xml:space="preserve"> 4 w zw. art. 99 ust.1 PZP </w:t>
      </w:r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abuzywne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  <w:shd w:val="clear" w:color="auto" w:fill="FFFFFF"/>
        </w:rPr>
        <w:t xml:space="preserve">  </w:t>
      </w:r>
    </w:p>
    <w:p w:rsidR="000B006B" w:rsidRDefault="000B006B" w:rsidP="000B006B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0B006B" w:rsidRDefault="000B006B" w:rsidP="000B006B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Zastrzeżenie §4 ust. 6 wzoru umowy skutkuje przyjęciem niedopuszczalnej praktyki, iż Wykonawca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Poppins" w:hAnsi="Poppins" w:cs="Poppins"/>
          <w:sz w:val="20"/>
          <w:szCs w:val="20"/>
        </w:rPr>
        <w:t xml:space="preserve">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z dnia 11 września 2021 r. Prawo zamówień publicznych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.</w:t>
      </w:r>
    </w:p>
    <w:p w:rsidR="000B006B" w:rsidRDefault="000B006B" w:rsidP="000B006B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</w:p>
    <w:p w:rsidR="000B006B" w:rsidRDefault="000B006B" w:rsidP="000B006B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niepubl</w:t>
      </w:r>
      <w:proofErr w:type="spellEnd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.). KIO uznała za niedopuszczalny brak pewności po 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lastRenderedPageBreak/>
        <w:t xml:space="preserve">stronie wykonawcy co do jednego z istotnych elementów kalkulacji ceny, tj. ilości zamawianych dostaw, warunkującego rzetelną wycenę oferty. Podobnie w orzeczeniu </w:t>
      </w:r>
      <w:r>
        <w:rPr>
          <w:rFonts w:ascii="Poppins" w:hAnsi="Poppins" w:cs="Poppins"/>
          <w:sz w:val="20"/>
          <w:szCs w:val="20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Poppins" w:hAnsi="Poppins" w:cs="Poppins"/>
          <w:sz w:val="20"/>
          <w:szCs w:val="20"/>
        </w:rPr>
        <w:t>abuzywną</w:t>
      </w:r>
      <w:proofErr w:type="spellEnd"/>
      <w:r>
        <w:rPr>
          <w:rFonts w:ascii="Poppins" w:hAnsi="Poppins" w:cs="Poppins"/>
          <w:sz w:val="20"/>
          <w:szCs w:val="20"/>
        </w:rPr>
        <w:t xml:space="preserve"> w świetle 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 poz. 275).</w:t>
      </w:r>
    </w:p>
    <w:p w:rsidR="000B006B" w:rsidRDefault="000B006B" w:rsidP="000B006B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0B006B" w:rsidRPr="00393E26" w:rsidRDefault="000B006B" w:rsidP="00393E26">
      <w:pPr>
        <w:ind w:left="72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8 PZP jako jedną z przykładowych klauzul umownych, którą należy uznać za niezgodną z art. 433 PZP wskazuje następujące postanowienie:</w:t>
      </w:r>
      <w:r>
        <w:rPr>
          <w:rFonts w:ascii="Poppins" w:hAnsi="Poppins" w:cs="Poppins"/>
          <w:i/>
          <w:iCs/>
          <w:sz w:val="20"/>
          <w:szCs w:val="20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DD609F" w:rsidRDefault="00DD609F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bCs w:val="0"/>
          <w:iCs/>
          <w:sz w:val="20"/>
          <w:szCs w:val="20"/>
        </w:rPr>
      </w:pPr>
    </w:p>
    <w:p w:rsidR="00101599" w:rsidRPr="00810663" w:rsidRDefault="000B006B" w:rsidP="00101599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>Odpowiedzi do zestawu nr 1</w:t>
      </w:r>
      <w:r w:rsidR="00101599"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="00101599" w:rsidRPr="00810663">
        <w:rPr>
          <w:rFonts w:ascii="Verdana" w:hAnsi="Verdana"/>
          <w:sz w:val="20"/>
          <w:szCs w:val="20"/>
        </w:rPr>
        <w:t>Zamawiający</w:t>
      </w:r>
      <w:r w:rsidR="00101599"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101599" w:rsidRDefault="00101599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99A" w:rsidRDefault="0075799A" w:rsidP="00C97BF3">
      <w:pPr>
        <w:spacing w:after="0" w:line="240" w:lineRule="auto"/>
      </w:pPr>
      <w:r>
        <w:separator/>
      </w:r>
    </w:p>
  </w:endnote>
  <w:endnote w:type="continuationSeparator" w:id="0">
    <w:p w:rsidR="0075799A" w:rsidRDefault="0075799A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9A" w:rsidRDefault="00FE13A2" w:rsidP="005A438D">
    <w:pPr>
      <w:pStyle w:val="Stopka"/>
      <w:jc w:val="both"/>
    </w:pPr>
    <w:fldSimple w:instr=" PAGE   \* MERGEFORMAT ">
      <w:r w:rsidR="00393E26">
        <w:rPr>
          <w:noProof/>
        </w:rPr>
        <w:t>3</w:t>
      </w:r>
    </w:fldSimple>
    <w:r w:rsidR="0075799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99A" w:rsidRDefault="0075799A" w:rsidP="00C97BF3">
      <w:pPr>
        <w:spacing w:after="0" w:line="240" w:lineRule="auto"/>
      </w:pPr>
      <w:r>
        <w:separator/>
      </w:r>
    </w:p>
  </w:footnote>
  <w:footnote w:type="continuationSeparator" w:id="0">
    <w:p w:rsidR="0075799A" w:rsidRDefault="0075799A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99A" w:rsidRDefault="007579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3260310"/>
    <w:multiLevelType w:val="hybridMultilevel"/>
    <w:tmpl w:val="27ECE7B8"/>
    <w:lvl w:ilvl="0" w:tplc="6CA0B3C6">
      <w:start w:val="8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C6713"/>
    <w:multiLevelType w:val="hybridMultilevel"/>
    <w:tmpl w:val="CF64C5AE"/>
    <w:lvl w:ilvl="0" w:tplc="D3AAC2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7"/>
  </w:num>
  <w:num w:numId="7">
    <w:abstractNumId w:val="15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  <w:num w:numId="18">
    <w:abstractNumId w:val="1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16A4A"/>
    <w:rsid w:val="00020416"/>
    <w:rsid w:val="0002796A"/>
    <w:rsid w:val="000508F3"/>
    <w:rsid w:val="000755AE"/>
    <w:rsid w:val="00076E89"/>
    <w:rsid w:val="00080A46"/>
    <w:rsid w:val="00081C4D"/>
    <w:rsid w:val="000B006B"/>
    <w:rsid w:val="000C0553"/>
    <w:rsid w:val="000C5A03"/>
    <w:rsid w:val="00101599"/>
    <w:rsid w:val="00116FD9"/>
    <w:rsid w:val="0012272B"/>
    <w:rsid w:val="00133801"/>
    <w:rsid w:val="001375CB"/>
    <w:rsid w:val="00154045"/>
    <w:rsid w:val="00183291"/>
    <w:rsid w:val="001C3EBF"/>
    <w:rsid w:val="001D6CBB"/>
    <w:rsid w:val="001E3240"/>
    <w:rsid w:val="00200232"/>
    <w:rsid w:val="00203DBC"/>
    <w:rsid w:val="00251313"/>
    <w:rsid w:val="0026793A"/>
    <w:rsid w:val="0027115B"/>
    <w:rsid w:val="002873B5"/>
    <w:rsid w:val="002A4591"/>
    <w:rsid w:val="002A6AE9"/>
    <w:rsid w:val="002A7571"/>
    <w:rsid w:val="002F32B1"/>
    <w:rsid w:val="00312CE5"/>
    <w:rsid w:val="00315901"/>
    <w:rsid w:val="0033025A"/>
    <w:rsid w:val="00393D5A"/>
    <w:rsid w:val="00393E26"/>
    <w:rsid w:val="003D10E6"/>
    <w:rsid w:val="003D3442"/>
    <w:rsid w:val="003E2CC5"/>
    <w:rsid w:val="004104D4"/>
    <w:rsid w:val="004146E8"/>
    <w:rsid w:val="004168D0"/>
    <w:rsid w:val="00424EBD"/>
    <w:rsid w:val="004258EE"/>
    <w:rsid w:val="0043512E"/>
    <w:rsid w:val="0044422B"/>
    <w:rsid w:val="0045089D"/>
    <w:rsid w:val="00494EAA"/>
    <w:rsid w:val="004A7D2D"/>
    <w:rsid w:val="004F5E23"/>
    <w:rsid w:val="005250AE"/>
    <w:rsid w:val="00526A2D"/>
    <w:rsid w:val="005563FD"/>
    <w:rsid w:val="00556DBA"/>
    <w:rsid w:val="00561EC4"/>
    <w:rsid w:val="00575C80"/>
    <w:rsid w:val="00582D94"/>
    <w:rsid w:val="00585279"/>
    <w:rsid w:val="005876E5"/>
    <w:rsid w:val="005A438D"/>
    <w:rsid w:val="005A5062"/>
    <w:rsid w:val="005B49D4"/>
    <w:rsid w:val="005C3022"/>
    <w:rsid w:val="005D7979"/>
    <w:rsid w:val="005D7F5F"/>
    <w:rsid w:val="00621343"/>
    <w:rsid w:val="006215D1"/>
    <w:rsid w:val="0063580C"/>
    <w:rsid w:val="006427E0"/>
    <w:rsid w:val="006A066D"/>
    <w:rsid w:val="006A58FA"/>
    <w:rsid w:val="006D75DA"/>
    <w:rsid w:val="006E2363"/>
    <w:rsid w:val="0070137E"/>
    <w:rsid w:val="00711C86"/>
    <w:rsid w:val="00721A77"/>
    <w:rsid w:val="00722882"/>
    <w:rsid w:val="007240F9"/>
    <w:rsid w:val="0072705B"/>
    <w:rsid w:val="00734325"/>
    <w:rsid w:val="0075799A"/>
    <w:rsid w:val="00776942"/>
    <w:rsid w:val="00784C4A"/>
    <w:rsid w:val="0079028A"/>
    <w:rsid w:val="007B311E"/>
    <w:rsid w:val="007C125F"/>
    <w:rsid w:val="007F1E09"/>
    <w:rsid w:val="007F5966"/>
    <w:rsid w:val="00810663"/>
    <w:rsid w:val="00816DAC"/>
    <w:rsid w:val="008350B0"/>
    <w:rsid w:val="0085629A"/>
    <w:rsid w:val="0088630C"/>
    <w:rsid w:val="00893FD5"/>
    <w:rsid w:val="008A4CD0"/>
    <w:rsid w:val="008B28D3"/>
    <w:rsid w:val="008B2D81"/>
    <w:rsid w:val="008F2C63"/>
    <w:rsid w:val="00900D38"/>
    <w:rsid w:val="009110CB"/>
    <w:rsid w:val="00917529"/>
    <w:rsid w:val="00976808"/>
    <w:rsid w:val="00991F8C"/>
    <w:rsid w:val="009A7F6A"/>
    <w:rsid w:val="009D3510"/>
    <w:rsid w:val="00A064C7"/>
    <w:rsid w:val="00A114B0"/>
    <w:rsid w:val="00A16FF8"/>
    <w:rsid w:val="00A62BE4"/>
    <w:rsid w:val="00A77F3C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913FA"/>
    <w:rsid w:val="00BC6B76"/>
    <w:rsid w:val="00BD4772"/>
    <w:rsid w:val="00BE1457"/>
    <w:rsid w:val="00BE2AB9"/>
    <w:rsid w:val="00BE2F4E"/>
    <w:rsid w:val="00C12D92"/>
    <w:rsid w:val="00C2637C"/>
    <w:rsid w:val="00C34C3F"/>
    <w:rsid w:val="00C71FCB"/>
    <w:rsid w:val="00C94DBE"/>
    <w:rsid w:val="00C97BF3"/>
    <w:rsid w:val="00CE0D73"/>
    <w:rsid w:val="00D14F4D"/>
    <w:rsid w:val="00D20DED"/>
    <w:rsid w:val="00D466E6"/>
    <w:rsid w:val="00D5326A"/>
    <w:rsid w:val="00D56CCA"/>
    <w:rsid w:val="00D80932"/>
    <w:rsid w:val="00DB59DA"/>
    <w:rsid w:val="00DD609F"/>
    <w:rsid w:val="00DF346A"/>
    <w:rsid w:val="00DF6317"/>
    <w:rsid w:val="00DF6EFF"/>
    <w:rsid w:val="00E15E93"/>
    <w:rsid w:val="00E17236"/>
    <w:rsid w:val="00E1782C"/>
    <w:rsid w:val="00E5741A"/>
    <w:rsid w:val="00E70F36"/>
    <w:rsid w:val="00E720A8"/>
    <w:rsid w:val="00E87140"/>
    <w:rsid w:val="00E874B1"/>
    <w:rsid w:val="00E959CF"/>
    <w:rsid w:val="00E97875"/>
    <w:rsid w:val="00EB1503"/>
    <w:rsid w:val="00EC0213"/>
    <w:rsid w:val="00EC753B"/>
    <w:rsid w:val="00ED7EC4"/>
    <w:rsid w:val="00EE1127"/>
    <w:rsid w:val="00EE198E"/>
    <w:rsid w:val="00EE34A7"/>
    <w:rsid w:val="00EE51B8"/>
    <w:rsid w:val="00F02CA8"/>
    <w:rsid w:val="00F61B49"/>
    <w:rsid w:val="00F81C24"/>
    <w:rsid w:val="00F94FC9"/>
    <w:rsid w:val="00FD01AF"/>
    <w:rsid w:val="00FE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omylnaczcionkaakapitu"/>
    <w:rsid w:val="00393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DD18-FEB0-4AC8-A451-470D780D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14</cp:revision>
  <cp:lastPrinted>2024-05-28T14:42:00Z</cp:lastPrinted>
  <dcterms:created xsi:type="dcterms:W3CDTF">2024-05-08T10:26:00Z</dcterms:created>
  <dcterms:modified xsi:type="dcterms:W3CDTF">2024-05-28T14:43:00Z</dcterms:modified>
</cp:coreProperties>
</file>