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B840E3">
        <w:rPr>
          <w:rFonts w:ascii="Verdana" w:hAnsi="Verdana"/>
          <w:b/>
          <w:sz w:val="20"/>
        </w:rPr>
        <w:t>materiałów chirurgicznych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884AC9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B840E3">
        <w:rPr>
          <w:rFonts w:ascii="Verdana" w:hAnsi="Verdana"/>
          <w:b/>
          <w:sz w:val="20"/>
        </w:rPr>
        <w:t>materiałów chirurgicznych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B840E3">
        <w:rPr>
          <w:rFonts w:ascii="Verdana" w:hAnsi="Verdana" w:cs="Arial"/>
          <w:bCs/>
          <w:sz w:val="20"/>
          <w:szCs w:val="20"/>
        </w:rPr>
        <w:t xml:space="preserve"> 9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884AC9" w:rsidRDefault="00F77B2C" w:rsidP="00884AC9">
      <w:pPr>
        <w:ind w:left="426"/>
        <w:jc w:val="both"/>
        <w:rPr>
          <w:rFonts w:ascii="Verdana" w:hAnsi="Verdana"/>
          <w:sz w:val="20"/>
          <w:szCs w:val="20"/>
        </w:rPr>
      </w:pPr>
      <w:r w:rsidRPr="00F77B2C">
        <w:rPr>
          <w:rFonts w:ascii="Verdana" w:hAnsi="Verdana"/>
          <w:sz w:val="20"/>
          <w:szCs w:val="20"/>
        </w:rPr>
        <w:t>331</w:t>
      </w:r>
      <w:r>
        <w:rPr>
          <w:rFonts w:ascii="Verdana" w:hAnsi="Verdana"/>
          <w:sz w:val="20"/>
          <w:szCs w:val="20"/>
        </w:rPr>
        <w:t>41127-6, 33141120-7, 33141111-1</w:t>
      </w:r>
      <w:r w:rsidRPr="00F77B2C">
        <w:rPr>
          <w:rFonts w:ascii="Verdana" w:hAnsi="Verdana"/>
          <w:sz w:val="20"/>
          <w:szCs w:val="20"/>
        </w:rPr>
        <w:t>, 33141000-0, 33141112-8, 33697110-6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</w:t>
      </w:r>
      <w:r w:rsidRPr="00797B08">
        <w:rPr>
          <w:rFonts w:ascii="Verdana" w:hAnsi="Verdana"/>
          <w:sz w:val="20"/>
          <w:szCs w:val="20"/>
        </w:rPr>
        <w:lastRenderedPageBreak/>
        <w:t>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BA584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cym wbrew </w:t>
      </w:r>
      <w:r w:rsidRPr="00782102">
        <w:rPr>
          <w:rFonts w:ascii="Verdana" w:hAnsi="Verdana"/>
          <w:sz w:val="20"/>
          <w:szCs w:val="20"/>
        </w:rPr>
        <w:lastRenderedPageBreak/>
        <w:t>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447571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</w:t>
      </w:r>
      <w:r w:rsidRPr="000A792D">
        <w:rPr>
          <w:rFonts w:ascii="Verdana" w:hAnsi="Verdana"/>
          <w:spacing w:val="5"/>
          <w:sz w:val="20"/>
          <w:szCs w:val="20"/>
        </w:rPr>
        <w:lastRenderedPageBreak/>
        <w:t>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B72ED9">
        <w:rPr>
          <w:rFonts w:ascii="Verdana" w:hAnsi="Verdana"/>
          <w:sz w:val="20"/>
          <w:szCs w:val="20"/>
        </w:rPr>
        <w:t xml:space="preserve">Paulina </w:t>
      </w:r>
      <w:proofErr w:type="spellStart"/>
      <w:r w:rsidR="00B72ED9">
        <w:rPr>
          <w:rFonts w:ascii="Verdana" w:hAnsi="Verdana"/>
          <w:sz w:val="20"/>
          <w:szCs w:val="20"/>
        </w:rPr>
        <w:t>Wielewicka</w:t>
      </w:r>
      <w:proofErr w:type="spellEnd"/>
      <w:r w:rsidR="00B72ED9">
        <w:rPr>
          <w:rFonts w:ascii="Verdana" w:hAnsi="Verdana"/>
          <w:sz w:val="20"/>
          <w:szCs w:val="20"/>
        </w:rPr>
        <w:t xml:space="preserve"> Tel. 61 66 54 302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B84382">
        <w:rPr>
          <w:rFonts w:ascii="Verdana" w:hAnsi="Verdana" w:cs="Arial"/>
          <w:b/>
          <w:sz w:val="20"/>
          <w:szCs w:val="20"/>
          <w:highlight w:val="yellow"/>
        </w:rPr>
        <w:t>12.07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77F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13.06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077F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13.06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</w:t>
      </w:r>
      <w:r w:rsidRPr="000A792D">
        <w:rPr>
          <w:rFonts w:ascii="Verdana" w:hAnsi="Verdana"/>
          <w:sz w:val="20"/>
          <w:szCs w:val="20"/>
        </w:rPr>
        <w:lastRenderedPageBreak/>
        <w:t>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7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niezgodną z przepisami ustawy czynność zamawiającego, podjętą w postępowaniu o udzielenie zamówienia, o zawarcie umowy ramowej, dynamicznym systemie zakupów, systemie kwalifikowania wykonawców lub </w:t>
      </w:r>
      <w:r w:rsidRPr="000A792D">
        <w:rPr>
          <w:rFonts w:ascii="Verdana" w:hAnsi="Verdana"/>
          <w:sz w:val="20"/>
          <w:szCs w:val="20"/>
        </w:rPr>
        <w:lastRenderedPageBreak/>
        <w:t>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:rsidR="000C5386" w:rsidRPr="004B0F1C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BA1D76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04.06</w:t>
      </w:r>
      <w:bookmarkStart w:id="26" w:name="_GoBack"/>
      <w:bookmarkEnd w:id="26"/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71" w:rsidRDefault="00447571">
      <w:r>
        <w:separator/>
      </w:r>
    </w:p>
    <w:p w:rsidR="00447571" w:rsidRDefault="00447571"/>
  </w:endnote>
  <w:endnote w:type="continuationSeparator" w:id="0">
    <w:p w:rsidR="00447571" w:rsidRDefault="00447571">
      <w:r>
        <w:continuationSeparator/>
      </w:r>
    </w:p>
    <w:p w:rsidR="00447571" w:rsidRDefault="00447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3C7471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3C7471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50" w:rsidRDefault="005F41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71" w:rsidRDefault="00447571">
      <w:r>
        <w:separator/>
      </w:r>
    </w:p>
    <w:p w:rsidR="00447571" w:rsidRDefault="00447571"/>
  </w:footnote>
  <w:footnote w:type="continuationSeparator" w:id="0">
    <w:p w:rsidR="00447571" w:rsidRDefault="00447571">
      <w:r>
        <w:continuationSeparator/>
      </w:r>
    </w:p>
    <w:p w:rsidR="00447571" w:rsidRDefault="004475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50" w:rsidRDefault="005F41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5F4150">
      <w:t>41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3278-506B-4605-8BBA-211E97C1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9</Pages>
  <Words>3538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24720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708</cp:revision>
  <cp:lastPrinted>2024-06-04T05:36:00Z</cp:lastPrinted>
  <dcterms:created xsi:type="dcterms:W3CDTF">2021-09-20T07:46:00Z</dcterms:created>
  <dcterms:modified xsi:type="dcterms:W3CDTF">2024-06-04T05:36:00Z</dcterms:modified>
</cp:coreProperties>
</file>