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42021D">
        <w:rPr>
          <w:sz w:val="20"/>
          <w:szCs w:val="20"/>
        </w:rPr>
        <w:t>47/2024</w:t>
      </w:r>
      <w:r w:rsidR="0042021D">
        <w:rPr>
          <w:sz w:val="20"/>
          <w:szCs w:val="20"/>
        </w:rPr>
        <w:tab/>
      </w:r>
      <w:r w:rsidR="0042021D">
        <w:rPr>
          <w:sz w:val="20"/>
          <w:szCs w:val="20"/>
        </w:rPr>
        <w:tab/>
        <w:t>Poznań, 2024-06- 26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352FE">
        <w:rPr>
          <w:rFonts w:asciiTheme="minorHAnsi" w:hAnsiTheme="minorHAnsi" w:cstheme="minorHAnsi"/>
          <w:b/>
          <w:sz w:val="20"/>
          <w:szCs w:val="20"/>
        </w:rPr>
        <w:t>ś</w:t>
      </w:r>
      <w:r w:rsidR="00C352FE" w:rsidRPr="00C352FE">
        <w:rPr>
          <w:rFonts w:asciiTheme="minorHAnsi" w:hAnsiTheme="minorHAnsi" w:cstheme="minorHAnsi"/>
          <w:b/>
          <w:sz w:val="20"/>
          <w:szCs w:val="20"/>
        </w:rPr>
        <w:t>wiadczenie usług w zakresie telefonii stacjonarnej, komórkowej oraz transmisji danych wraz z dostępem do Internetu dla szpitali w Poznaniu, Ludwikowie i Chodzieży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 nawiązaniu do postępowania o udzielenie zamówienia publicznego prowadzonego w trybie pod-stawowym pn. „Świadczenie usług w zakresie telefonii stacjonarnej, komórkowej oraz transmisji danych wraz z dostępem do Internetu dla szpitali w Poznaniu, Ludwikowie</w:t>
      </w:r>
      <w:r>
        <w:rPr>
          <w:rFonts w:eastAsia="Times New Roman" w:cs="Calibri"/>
          <w:sz w:val="20"/>
          <w:szCs w:val="20"/>
          <w:lang w:eastAsia="pl-PL"/>
        </w:rPr>
        <w:t xml:space="preserve"> i Chodzieży” nr referen</w:t>
      </w:r>
      <w:r w:rsidRPr="00D854E0">
        <w:rPr>
          <w:rFonts w:eastAsia="Times New Roman" w:cs="Calibri"/>
          <w:sz w:val="20"/>
          <w:szCs w:val="20"/>
          <w:lang w:eastAsia="pl-PL"/>
        </w:rPr>
        <w:t>cyjny WCPIT/EA/381-49/2024 wykonawca zgodnie z art. 135 ust. 1 ustawy z dnia 11 września 2019 r. – Prawo zamówień publicznych (Dz.U. poz. 2019 ze zm. zwraca się z wnioskiem o wyjaśnienie treści SWZ w następującym zakresie: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1.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 związku z faktem świadczenia usług stanowiących przedmiot zamówienia niniejszego postępowania przez podmiot INEA SA na rzecz zamawiającego wykonawca wnosi o dostosowanie opisu przedmiotu zamówienia do zas</w:t>
      </w:r>
      <w:r>
        <w:rPr>
          <w:rFonts w:eastAsia="Times New Roman" w:cs="Calibri"/>
          <w:sz w:val="20"/>
          <w:szCs w:val="20"/>
          <w:lang w:eastAsia="pl-PL"/>
        </w:rPr>
        <w:t>ady równego traktowania wykonaw</w:t>
      </w:r>
      <w:r w:rsidRPr="00D854E0">
        <w:rPr>
          <w:rFonts w:eastAsia="Times New Roman" w:cs="Calibri"/>
          <w:sz w:val="20"/>
          <w:szCs w:val="20"/>
          <w:lang w:eastAsia="pl-PL"/>
        </w:rPr>
        <w:t>ców oraz zachowania zasady uczciwej konkurencji w c</w:t>
      </w:r>
      <w:r>
        <w:rPr>
          <w:rFonts w:eastAsia="Times New Roman" w:cs="Calibri"/>
          <w:sz w:val="20"/>
          <w:szCs w:val="20"/>
          <w:lang w:eastAsia="pl-PL"/>
        </w:rPr>
        <w:t>elu zagwarantowania konkurencyj</w:t>
      </w:r>
      <w:r w:rsidRPr="00D854E0">
        <w:rPr>
          <w:rFonts w:eastAsia="Times New Roman" w:cs="Calibri"/>
          <w:sz w:val="20"/>
          <w:szCs w:val="20"/>
          <w:lang w:eastAsia="pl-PL"/>
        </w:rPr>
        <w:t xml:space="preserve">nego wyboru oferty najkorzystniejszej oraz równych </w:t>
      </w:r>
      <w:r>
        <w:rPr>
          <w:rFonts w:eastAsia="Times New Roman" w:cs="Calibri"/>
          <w:sz w:val="20"/>
          <w:szCs w:val="20"/>
          <w:lang w:eastAsia="pl-PL"/>
        </w:rPr>
        <w:t>dla wszystkich wykonawców warun</w:t>
      </w:r>
      <w:r w:rsidRPr="00D854E0">
        <w:rPr>
          <w:rFonts w:eastAsia="Times New Roman" w:cs="Calibri"/>
          <w:sz w:val="20"/>
          <w:szCs w:val="20"/>
          <w:lang w:eastAsia="pl-PL"/>
        </w:rPr>
        <w:t>ków dokonania wyceny oferty.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Zamawiający w sposób świadomy pominął w opisie przedmiotu zamówienia informacje dotyczące świadczenia przez INEA SA usług na rzecz zamawiającego, któ</w:t>
      </w:r>
      <w:r>
        <w:rPr>
          <w:rFonts w:eastAsia="Times New Roman" w:cs="Calibri"/>
          <w:sz w:val="20"/>
          <w:szCs w:val="20"/>
          <w:lang w:eastAsia="pl-PL"/>
        </w:rPr>
        <w:t>re są tożsame z usługami niniej</w:t>
      </w:r>
      <w:r w:rsidRPr="00D854E0">
        <w:rPr>
          <w:rFonts w:eastAsia="Times New Roman" w:cs="Calibri"/>
          <w:sz w:val="20"/>
          <w:szCs w:val="20"/>
          <w:lang w:eastAsia="pl-PL"/>
        </w:rPr>
        <w:t>szego postępowania. Podmiot INEA SA wybudował oraz dotyc</w:t>
      </w:r>
      <w:r>
        <w:rPr>
          <w:rFonts w:eastAsia="Times New Roman" w:cs="Calibri"/>
          <w:sz w:val="20"/>
          <w:szCs w:val="20"/>
          <w:lang w:eastAsia="pl-PL"/>
        </w:rPr>
        <w:t>hczas utrzymuje łącze światłowo</w:t>
      </w:r>
      <w:r w:rsidRPr="00D854E0">
        <w:rPr>
          <w:rFonts w:eastAsia="Times New Roman" w:cs="Calibri"/>
          <w:sz w:val="20"/>
          <w:szCs w:val="20"/>
          <w:lang w:eastAsia="pl-PL"/>
        </w:rPr>
        <w:t>dowe dla realizacji ww. usług z opłat jakie wnosi zamawiający na rzecz tego podmiotu. Oznacza to, że INEA SA jest podmiotem uprzywilejowanym w stosunku do innych operatorów działających na rynku poprzez posiadanie łącza światłowodowego sfinansowanego przez zamawiającego.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Pozostałe podmioty składając ofertę w niniejszym postępowaniu zobowiązane są do skalkulowania kosztów wybudowanie nowego przyłącza światłowodowego do lokalizacji wskazanych w OPZ przez zamawiającego. Tym samym, ofert INEA SA będzie korzystniejsza o koszty wybudowania ww. przyłączy, które zamawiający sfinansował ww. podmiotowi.</w:t>
      </w:r>
    </w:p>
    <w:p w:rsid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 xml:space="preserve">Mając na uwadze powyższe wykonawca wnosi o dostosowanie </w:t>
      </w:r>
      <w:proofErr w:type="spellStart"/>
      <w:r w:rsidRPr="00D854E0">
        <w:rPr>
          <w:rFonts w:eastAsia="Times New Roman" w:cs="Calibri"/>
          <w:sz w:val="20"/>
          <w:szCs w:val="20"/>
          <w:lang w:eastAsia="pl-PL"/>
        </w:rPr>
        <w:t>o</w:t>
      </w:r>
      <w:r>
        <w:rPr>
          <w:rFonts w:eastAsia="Times New Roman" w:cs="Calibri"/>
          <w:sz w:val="20"/>
          <w:szCs w:val="20"/>
          <w:lang w:eastAsia="pl-PL"/>
        </w:rPr>
        <w:t>pz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poprzez realną możliwość kon</w:t>
      </w:r>
      <w:r w:rsidRPr="00D854E0">
        <w:rPr>
          <w:rFonts w:eastAsia="Times New Roman" w:cs="Calibri"/>
          <w:sz w:val="20"/>
          <w:szCs w:val="20"/>
          <w:lang w:eastAsia="pl-PL"/>
        </w:rPr>
        <w:t>kurowania z INEA SA w niniejszym postępowaniu. Procedura udzielenia zamówienia publicznego,</w:t>
      </w:r>
    </w:p>
    <w:p w:rsid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 tym zasady wynikającego z Dyrektyw (mające swe źródło w normach prawa międzynarodowego - Traktat) oparte są na zasadzie równości wszystkich podmiotów. Wszczęcie natomiast procedury „konkurencyjnej” która uprzywilejowuje konkretny podmiot j</w:t>
      </w:r>
      <w:r w:rsidR="00654EBE">
        <w:rPr>
          <w:rFonts w:eastAsia="Times New Roman" w:cs="Calibri"/>
          <w:sz w:val="20"/>
          <w:szCs w:val="20"/>
          <w:lang w:eastAsia="pl-PL"/>
        </w:rPr>
        <w:t>est zaprzeczeniem ww. zasad, bo</w:t>
      </w:r>
      <w:r w:rsidRPr="00D854E0">
        <w:rPr>
          <w:rFonts w:eastAsia="Times New Roman" w:cs="Calibri"/>
          <w:sz w:val="20"/>
          <w:szCs w:val="20"/>
          <w:lang w:eastAsia="pl-PL"/>
        </w:rPr>
        <w:t>wiem oznacza w istocie procedurę wyboru jednego podmiot ident</w:t>
      </w:r>
      <w:r>
        <w:rPr>
          <w:rFonts w:eastAsia="Times New Roman" w:cs="Calibri"/>
          <w:sz w:val="20"/>
          <w:szCs w:val="20"/>
          <w:lang w:eastAsia="pl-PL"/>
        </w:rPr>
        <w:t>yczną do trybu zamówienia z wol</w:t>
      </w:r>
      <w:r w:rsidRPr="00D854E0">
        <w:rPr>
          <w:rFonts w:eastAsia="Times New Roman" w:cs="Calibri"/>
          <w:sz w:val="20"/>
          <w:szCs w:val="20"/>
          <w:lang w:eastAsia="pl-PL"/>
        </w:rPr>
        <w:t>nej ręki.</w:t>
      </w:r>
    </w:p>
    <w:p w:rsidR="00964902" w:rsidRDefault="0037593A" w:rsidP="00D854E0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>Zamawiający</w:t>
      </w:r>
      <w:r w:rsidR="00D33264">
        <w:rPr>
          <w:rFonts w:asciiTheme="minorHAnsi" w:hAnsiTheme="minorHAnsi" w:cstheme="minorHAnsi"/>
          <w:b/>
          <w:sz w:val="20"/>
          <w:szCs w:val="20"/>
        </w:rPr>
        <w:t xml:space="preserve"> wyjaśnia:</w:t>
      </w:r>
    </w:p>
    <w:p w:rsidR="00D33264" w:rsidRPr="007D1C73" w:rsidRDefault="00D33264" w:rsidP="00D33264">
      <w:pPr>
        <w:jc w:val="both"/>
        <w:rPr>
          <w:sz w:val="20"/>
          <w:szCs w:val="20"/>
        </w:rPr>
      </w:pPr>
      <w:r w:rsidRPr="007D1C73">
        <w:rPr>
          <w:sz w:val="20"/>
          <w:szCs w:val="20"/>
        </w:rPr>
        <w:t xml:space="preserve">- brak podstaw do twierdzenia że Zamawiający „świadomie pominął” w OPZ informacje dotyczące świadczenia usługi przez INEA. Żaden z przepisów regulujących zamówienia publiczne nie wprowadza obowiązku </w:t>
      </w:r>
      <w:r w:rsidRPr="007D1C73">
        <w:rPr>
          <w:sz w:val="20"/>
          <w:szCs w:val="20"/>
        </w:rPr>
        <w:lastRenderedPageBreak/>
        <w:t>przekazywania informacji o tym który z Wykonawców aktualnie świadczy na jego rzecz usługę. Równocześnie informacje te nie są objęte tajemnicą i można je pozyskać na zasadach ogólnych na jakich można mieć dostęp do treści umów finansowanych ze środków publicznych.</w:t>
      </w:r>
    </w:p>
    <w:p w:rsidR="00D33264" w:rsidRPr="007D1C73" w:rsidRDefault="00D33264" w:rsidP="00D33264">
      <w:pPr>
        <w:jc w:val="both"/>
        <w:rPr>
          <w:sz w:val="20"/>
          <w:szCs w:val="20"/>
        </w:rPr>
      </w:pPr>
      <w:r w:rsidRPr="007D1C73">
        <w:rPr>
          <w:sz w:val="20"/>
          <w:szCs w:val="20"/>
        </w:rPr>
        <w:t xml:space="preserve">- Zamawiający potwierdza, że zakres przedmiotu zamówienia jest tożsamy z zakresem aktualnie odbieranych usług telekomunikacyjnych (usługi transmisji danych, dostępu do </w:t>
      </w:r>
      <w:proofErr w:type="spellStart"/>
      <w:r w:rsidRPr="007D1C73">
        <w:rPr>
          <w:sz w:val="20"/>
          <w:szCs w:val="20"/>
        </w:rPr>
        <w:t>internetu</w:t>
      </w:r>
      <w:proofErr w:type="spellEnd"/>
      <w:r w:rsidRPr="007D1C73">
        <w:rPr>
          <w:sz w:val="20"/>
          <w:szCs w:val="20"/>
        </w:rPr>
        <w:t>, telefonii stacjonarnej oraz komórkowej). Wynika to z faktu, że zamierza on zachować ciągłość świadczenia niezbędnych dla niego usług. Działanie to nie odbiega od sposobu udzielania zamówień przez innych Zamawiających.</w:t>
      </w:r>
    </w:p>
    <w:p w:rsidR="00D33264" w:rsidRPr="007D1C73" w:rsidRDefault="00D33264" w:rsidP="00D33264">
      <w:pPr>
        <w:jc w:val="both"/>
        <w:rPr>
          <w:sz w:val="20"/>
          <w:szCs w:val="20"/>
        </w:rPr>
      </w:pPr>
      <w:r w:rsidRPr="007D1C73">
        <w:rPr>
          <w:sz w:val="20"/>
          <w:szCs w:val="20"/>
        </w:rPr>
        <w:t>- Zamawiający stanowczo zaprzecza jakoby „sfinansował” INEI wybudowanie i utrzymywanie przyłącza. Wszystkie opłaty regulujące należności względem tego wykonawcy, aktualnie i w przeszłości, regulowane były wyłącznie z tytułu świadczenia usług telekomunikacyjnych a nie budowy i utrzymywania infrastruktury światłowodowej. Zamawiający nie posiada wiedzy kto jest właścicielem łączy światłowodowych.</w:t>
      </w:r>
    </w:p>
    <w:p w:rsidR="00D33264" w:rsidRPr="007D1C73" w:rsidRDefault="00D33264" w:rsidP="00D33264">
      <w:pPr>
        <w:jc w:val="both"/>
        <w:rPr>
          <w:sz w:val="20"/>
          <w:szCs w:val="20"/>
        </w:rPr>
      </w:pPr>
      <w:r w:rsidRPr="007D1C73">
        <w:rPr>
          <w:sz w:val="20"/>
          <w:szCs w:val="20"/>
        </w:rPr>
        <w:t>- Zamawiający w żadnym miejscu nie stawia wymogu aby wyłoniony Wykonawca świadczył usługę z wykorzystaniem sieci będącej jego własnością lub był zobowiązany do jej wybudowania – zatem do realizacji przedmiotu umowy wykorzystać może on infrastrukturę która będzie w jego dyspozycji przez czas trwania umowy (tj. 36 miesięcy) na podstawie innego tytułu prawnego (np. dzierżawy). Ważne jest jedynie aby podstawa ta gwarantowała wykonawcy możliwość zrealizowania usługi zgodnie z wymaganiami OPZ i zapisów Umowy.</w:t>
      </w:r>
    </w:p>
    <w:p w:rsidR="00D33264" w:rsidRPr="007D1C73" w:rsidRDefault="00D33264" w:rsidP="00D33264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1C73">
        <w:rPr>
          <w:sz w:val="20"/>
          <w:szCs w:val="20"/>
        </w:rPr>
        <w:t>- Według wiedzy Zamawiającego dostęp do potrzebnej infrastruktury telekomunikacyjnej (sieć światłowodowa) jest możliwy do pozyskania na rynku przez Operatorów telekomunikacyjnych.  Równocześnie informujemy, że w ramach przedmiotowego zamówienia nie zlecamy budowy sieci, co nie znaczy, że w ramach świadczenia usługi potencjalny oferent takiej instalacji nie może wykonać. Wraz z wnioskiem o zmianę OPZ zadający pytanie nie wskazał ani nie zasugerował nawet w przybliżeniu w jaki sposób miałby on zostać zmodyfikowany tak aby w jego mniemaniu zagwarantować równość wszystkich potencjalnych Wykonawców.</w:t>
      </w:r>
    </w:p>
    <w:p w:rsidR="006B3638" w:rsidRPr="00150D95" w:rsidRDefault="006B3638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2.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Wykonawca wnosi o dostosowanie warunku udziału w postępowaniu, o którym mowa w rozdz. VIII SWZ do wartości rynkowych.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Obecne warunki udziału w postępowaniu zostały ustalone przez zamawiaj</w:t>
      </w:r>
      <w:r>
        <w:rPr>
          <w:rFonts w:eastAsia="Times New Roman" w:cs="Calibri"/>
          <w:sz w:val="20"/>
          <w:szCs w:val="20"/>
          <w:lang w:eastAsia="pl-PL"/>
        </w:rPr>
        <w:t>ącego na podstawie do</w:t>
      </w:r>
      <w:r w:rsidRPr="00D854E0">
        <w:rPr>
          <w:rFonts w:eastAsia="Times New Roman" w:cs="Calibri"/>
          <w:sz w:val="20"/>
          <w:szCs w:val="20"/>
          <w:lang w:eastAsia="pl-PL"/>
        </w:rPr>
        <w:t>tychczas ponoszonych kosztów wynikających z umowy zawartej z podmiotem INEA SA. Koszty te nie przedstawiają jednak wartości rynkowej i są wielokrotnie wyższe niż wynosi wartość rynkowa. W związku z tym, fakt błędnego oszacowania wartości zamówienia nie może negatywnie wpływać na możliwość złożenia oferty przez inne podmioty zdolne do wykonania zamówienia tylko z tego powodu, że zamawiający ponosi koszty wielokrotnie wyższe niż koszty rynkowe.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Dla przykładu wykonawca wskazuje postępowanie ogłoszon</w:t>
      </w:r>
      <w:r>
        <w:rPr>
          <w:rFonts w:eastAsia="Times New Roman" w:cs="Calibri"/>
          <w:sz w:val="20"/>
          <w:szCs w:val="20"/>
          <w:lang w:eastAsia="pl-PL"/>
        </w:rPr>
        <w:t>e przez Wielkopolski Urząd Woje</w:t>
      </w:r>
      <w:r w:rsidRPr="00D854E0">
        <w:rPr>
          <w:rFonts w:eastAsia="Times New Roman" w:cs="Calibri"/>
          <w:sz w:val="20"/>
          <w:szCs w:val="20"/>
          <w:lang w:eastAsia="pl-PL"/>
        </w:rPr>
        <w:t>wódzki w Poznaniu w zakresie tożsamych usług, ale na wyższy</w:t>
      </w:r>
      <w:r>
        <w:rPr>
          <w:rFonts w:eastAsia="Times New Roman" w:cs="Calibri"/>
          <w:sz w:val="20"/>
          <w:szCs w:val="20"/>
          <w:lang w:eastAsia="pl-PL"/>
        </w:rPr>
        <w:t>m poziomie przekraczającym prze</w:t>
      </w:r>
      <w:r w:rsidRPr="00D854E0">
        <w:rPr>
          <w:rFonts w:eastAsia="Times New Roman" w:cs="Calibri"/>
          <w:sz w:val="20"/>
          <w:szCs w:val="20"/>
          <w:lang w:eastAsia="pl-PL"/>
        </w:rPr>
        <w:t>pustowość łącza internetowego wymaganego przez zamawiaj</w:t>
      </w:r>
      <w:r>
        <w:rPr>
          <w:rFonts w:eastAsia="Times New Roman" w:cs="Calibri"/>
          <w:sz w:val="20"/>
          <w:szCs w:val="20"/>
          <w:lang w:eastAsia="pl-PL"/>
        </w:rPr>
        <w:t>ącego w OPZ. Postępowanie to zo</w:t>
      </w:r>
      <w:r w:rsidRPr="00D854E0">
        <w:rPr>
          <w:rFonts w:eastAsia="Times New Roman" w:cs="Calibri"/>
          <w:sz w:val="20"/>
          <w:szCs w:val="20"/>
          <w:lang w:eastAsia="pl-PL"/>
        </w:rPr>
        <w:t>stało opublikowane jako zapytanie ofertowe z terminem realizacji 24 miesięcy.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Link: https://poznan.uw.gov.pl/zapytania-ofertowe/dostep-do-szerokopasmowego-internetu-lacze-podstawowe-symetryczne-1-szt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lastRenderedPageBreak/>
        <w:t>Identyczna argumentacja dotyczy świadczenie usług telefonii stacjonarnej oraz komórkowej – po-nosze</w:t>
      </w:r>
      <w:r>
        <w:rPr>
          <w:rFonts w:eastAsia="Times New Roman" w:cs="Calibri"/>
          <w:sz w:val="20"/>
          <w:szCs w:val="20"/>
          <w:lang w:eastAsia="pl-PL"/>
        </w:rPr>
        <w:t>nie nierynkowych kosztów nie mo</w:t>
      </w:r>
      <w:r w:rsidRPr="00D854E0">
        <w:rPr>
          <w:rFonts w:eastAsia="Times New Roman" w:cs="Calibri"/>
          <w:sz w:val="20"/>
          <w:szCs w:val="20"/>
          <w:lang w:eastAsia="pl-PL"/>
        </w:rPr>
        <w:t>że stanowić podstawy do ustalenia warunków udziału w postępowaniu na poziomie niespotykanym w profesjonalnym obrocie gospodarczym.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Tym samym decyzja zamawiającego o nierynkowych cenach zawartych w umowie z INEA SA nie powinna stanowić podstawy do zastosowania określonych instytucji wynikających z ustawy Prawo zamówień publicznych. Świadome i celowe ponoszenie wielokrotnie wyższych kosztów niż ceny rynkowe jest działaniem na szkodę zamawiającego.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 związku z powyższym, wykonawca wnosi o ponowne przeprowadzenie czynności szacowania wartości zamówienia na podstawie informacji pochodzących z innych podmiotów niż INEA SA (nie jest to czynność przekraczająca podstawową wiedzę informaty</w:t>
      </w:r>
      <w:r>
        <w:rPr>
          <w:rFonts w:eastAsia="Times New Roman" w:cs="Calibri"/>
          <w:sz w:val="20"/>
          <w:szCs w:val="20"/>
          <w:lang w:eastAsia="pl-PL"/>
        </w:rPr>
        <w:t>czną) oraz wnosi o ustalenie wa</w:t>
      </w:r>
      <w:r w:rsidRPr="00D854E0">
        <w:rPr>
          <w:rFonts w:eastAsia="Times New Roman" w:cs="Calibri"/>
          <w:sz w:val="20"/>
          <w:szCs w:val="20"/>
          <w:lang w:eastAsia="pl-PL"/>
        </w:rPr>
        <w:t>runków udziału, o których mowa w rozdz. VIII SWZ na podstawie prawidłowo przeprowadzonej czynności szacowania wartości zamówienia.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Wykonawca wnosi o nadanie brzmienia warunków udziału w następujący sposób: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„Warunek ten zostanie uznany za spełniony, jeżeli Wykonawca wykaże, że: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 xml:space="preserve">w okresie ostatnich 3 lat przed upływem terminu składania ofert, </w:t>
      </w:r>
      <w:r>
        <w:rPr>
          <w:rFonts w:eastAsia="Times New Roman" w:cs="Calibri"/>
          <w:sz w:val="20"/>
          <w:szCs w:val="20"/>
          <w:lang w:eastAsia="pl-PL"/>
        </w:rPr>
        <w:t>a jeżeli okres prowadzenia dzia</w:t>
      </w:r>
      <w:r w:rsidRPr="00D854E0">
        <w:rPr>
          <w:rFonts w:eastAsia="Times New Roman" w:cs="Calibri"/>
          <w:sz w:val="20"/>
          <w:szCs w:val="20"/>
          <w:lang w:eastAsia="pl-PL"/>
        </w:rPr>
        <w:t>łalności jest krótszy, w tym okresie należycie wykonał lub wykonuje – 3 usługi za kwotę min. 150 000,00 zł. brutto każda usługa.</w:t>
      </w:r>
    </w:p>
    <w:p w:rsidR="00E92B21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Usługi polegające na świadczeniu usługi telefonii stacjonarnej lub komórkowej lub łącza transmisji danych lub symetrycznej usługi dostępu do Internetu.”.</w:t>
      </w:r>
    </w:p>
    <w:p w:rsidR="006B3638" w:rsidRPr="00CF340E" w:rsidRDefault="00D854E0" w:rsidP="00CF340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Zamawiający w sposób celowy określił referencyjne zamówienia, które powinno obejmować wszystkie rodzaje ww. usług wyłącznie z tego powodu, że obecny operator INEA SA świadczy na rzecz zamawiającego takową usługę. Brak jest jednak jakiegokolwiek uzasadnienia merytorycznego oraz funkcjonalnego i organizacyjnego dla ustalenia takiego warunku. Każdy bowiem operator działający na podstawie ustawy Prawo telekomunikacyjne posiada zdolności do świadczenia każ-</w:t>
      </w:r>
      <w:proofErr w:type="spellStart"/>
      <w:r w:rsidRPr="00D854E0">
        <w:rPr>
          <w:rFonts w:eastAsia="Times New Roman" w:cs="Calibri"/>
          <w:sz w:val="20"/>
          <w:szCs w:val="20"/>
          <w:lang w:eastAsia="pl-PL"/>
        </w:rPr>
        <w:t>dego</w:t>
      </w:r>
      <w:proofErr w:type="spellEnd"/>
      <w:r w:rsidRPr="00D854E0">
        <w:rPr>
          <w:rFonts w:eastAsia="Times New Roman" w:cs="Calibri"/>
          <w:sz w:val="20"/>
          <w:szCs w:val="20"/>
          <w:lang w:eastAsia="pl-PL"/>
        </w:rPr>
        <w:t xml:space="preserve"> z ww. rodzajów usług.</w:t>
      </w:r>
    </w:p>
    <w:p w:rsidR="000115C9" w:rsidRPr="00150D95" w:rsidRDefault="000115C9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7D1C73" w:rsidRDefault="007D1C73" w:rsidP="00ED558E">
      <w:pPr>
        <w:spacing w:after="0" w:line="360" w:lineRule="auto"/>
        <w:jc w:val="both"/>
        <w:rPr>
          <w:rFonts w:ascii="Times New Roman" w:hAnsi="Times New Roman"/>
        </w:rPr>
      </w:pPr>
      <w:bookmarkStart w:id="2" w:name="_GoBack"/>
      <w:bookmarkEnd w:id="2"/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D33264">
        <w:rPr>
          <w:rFonts w:ascii="Times New Roman" w:eastAsia="Times New Roman" w:hAnsi="Times New Roman"/>
          <w:b/>
        </w:rPr>
        <w:t>01.07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F1D3A" w:rsidRDefault="00ED558E" w:rsidP="00FF1D3A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8F51C6">
        <w:rPr>
          <w:rFonts w:ascii="Times New Roman" w:eastAsia="Times New Roman" w:hAnsi="Times New Roman"/>
          <w:b/>
          <w:lang w:eastAsia="pl-PL"/>
        </w:rPr>
        <w:t>30</w:t>
      </w:r>
      <w:r w:rsidR="006E6EF8">
        <w:rPr>
          <w:rFonts w:ascii="Times New Roman" w:eastAsia="Times New Roman" w:hAnsi="Times New Roman"/>
          <w:b/>
          <w:lang w:eastAsia="pl-PL"/>
        </w:rPr>
        <w:t>.07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sectPr w:rsidR="00ED558E" w:rsidRPr="00FF1D3A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B1" w:rsidRDefault="007213B1" w:rsidP="00F92ECB">
      <w:pPr>
        <w:spacing w:after="0" w:line="240" w:lineRule="auto"/>
      </w:pPr>
      <w:r>
        <w:separator/>
      </w:r>
    </w:p>
  </w:endnote>
  <w:endnote w:type="continuationSeparator" w:id="0">
    <w:p w:rsidR="007213B1" w:rsidRDefault="007213B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D1C73">
      <w:rPr>
        <w:noProof/>
      </w:rPr>
      <w:t>3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B1" w:rsidRDefault="007213B1" w:rsidP="00F92ECB">
      <w:pPr>
        <w:spacing w:after="0" w:line="240" w:lineRule="auto"/>
      </w:pPr>
      <w:r>
        <w:separator/>
      </w:r>
    </w:p>
  </w:footnote>
  <w:footnote w:type="continuationSeparator" w:id="0">
    <w:p w:rsidR="007213B1" w:rsidRDefault="007213B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0EB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0098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21D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869F8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B00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49AA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48B6"/>
    <w:rsid w:val="00645A70"/>
    <w:rsid w:val="0064646A"/>
    <w:rsid w:val="00650DF8"/>
    <w:rsid w:val="00653875"/>
    <w:rsid w:val="00654EBE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3B1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C73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261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7B4"/>
    <w:rsid w:val="008F2F46"/>
    <w:rsid w:val="008F39CA"/>
    <w:rsid w:val="008F3BEA"/>
    <w:rsid w:val="008F51C6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5131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131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55A7F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2FE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340E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264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54E0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1D3A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ECCD-25AF-4CC9-8FF3-E5F5686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1279</TotalTime>
  <Pages>3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1001</cp:revision>
  <cp:lastPrinted>2018-10-12T10:15:00Z</cp:lastPrinted>
  <dcterms:created xsi:type="dcterms:W3CDTF">2021-05-27T07:09:00Z</dcterms:created>
  <dcterms:modified xsi:type="dcterms:W3CDTF">2024-06-26T11:07:00Z</dcterms:modified>
</cp:coreProperties>
</file>