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:rsidR="002162E9" w:rsidRDefault="00B3588D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1</w:t>
      </w:r>
    </w:p>
    <w:p w:rsidR="002E7730" w:rsidRPr="002162E9" w:rsidRDefault="00664670" w:rsidP="00664670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9D7800" w:rsidRDefault="00A1345A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Procesor tkankowy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– </w:t>
      </w:r>
      <w:r w:rsidR="00F7215E">
        <w:rPr>
          <w:rFonts w:ascii="Arial" w:hAnsi="Arial" w:cs="Arial"/>
          <w:b/>
          <w:sz w:val="22"/>
          <w:szCs w:val="22"/>
        </w:rPr>
        <w:t>1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:rsidR="008E66E9" w:rsidRDefault="008E66E9" w:rsidP="00463FCF">
      <w:pPr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8861"/>
      </w:tblGrid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ind w:left="-1887" w:firstLine="18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466" w:type="pct"/>
            <w:shd w:val="clear" w:color="auto" w:fill="auto"/>
          </w:tcPr>
          <w:p w:rsidR="008E66E9" w:rsidRPr="008E66E9" w:rsidRDefault="008E66E9" w:rsidP="008E66E9">
            <w:pPr>
              <w:ind w:left="-1887" w:firstLine="188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92D050"/>
            <w:vAlign w:val="center"/>
          </w:tcPr>
          <w:p w:rsidR="008E66E9" w:rsidRPr="008E66E9" w:rsidRDefault="008E66E9" w:rsidP="008E66E9">
            <w:pPr>
              <w:ind w:left="-1887" w:firstLine="188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147F1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4466" w:type="pct"/>
            <w:shd w:val="clear" w:color="auto" w:fill="92D050"/>
            <w:vAlign w:val="center"/>
          </w:tcPr>
          <w:p w:rsidR="008E66E9" w:rsidRPr="00D42022" w:rsidRDefault="00A1345A" w:rsidP="00A1345A">
            <w:pPr>
              <w:ind w:left="-1887" w:firstLine="1881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D4202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Procesor tkankowy hybrydowy zamknięty</w:t>
            </w:r>
          </w:p>
        </w:tc>
      </w:tr>
      <w:tr w:rsidR="008E66E9" w:rsidRPr="006E4CBA" w:rsidTr="00E84AD8">
        <w:trPr>
          <w:jc w:val="center"/>
        </w:trPr>
        <w:tc>
          <w:tcPr>
            <w:tcW w:w="5000" w:type="pct"/>
            <w:gridSpan w:val="2"/>
          </w:tcPr>
          <w:p w:rsidR="008E66E9" w:rsidRPr="008E66E9" w:rsidRDefault="008E66E9" w:rsidP="008E66E9">
            <w:pPr>
              <w:ind w:left="-1887" w:firstLine="1881"/>
              <w:rPr>
                <w:rFonts w:ascii="Arial" w:hAnsi="Arial" w:cs="Arial"/>
                <w:b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Procesor tkankowy automatyczny.</w:t>
            </w:r>
          </w:p>
        </w:tc>
      </w:tr>
      <w:tr w:rsidR="0080115F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8E66E9" w:rsidRDefault="0080115F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A1345A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Aparat wolnostojący.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Urządzenie działające w technologii hybrydowej- mikrofalowo-próżniowej.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 xml:space="preserve">Urządzenie działające na standardowych odczynnikach (alkohol etylowy, </w:t>
            </w:r>
            <w:proofErr w:type="spellStart"/>
            <w:r w:rsidRPr="00A1345A">
              <w:rPr>
                <w:rFonts w:ascii="Arial" w:hAnsi="Arial" w:cs="Arial"/>
                <w:sz w:val="18"/>
                <w:szCs w:val="18"/>
              </w:rPr>
              <w:t>izopropanol</w:t>
            </w:r>
            <w:proofErr w:type="spellEnd"/>
            <w:r w:rsidRPr="00A1345A">
              <w:rPr>
                <w:rFonts w:ascii="Arial" w:hAnsi="Arial" w:cs="Arial"/>
                <w:sz w:val="18"/>
                <w:szCs w:val="18"/>
              </w:rPr>
              <w:t>, ksylen, formalina</w:t>
            </w:r>
            <w:r>
              <w:rPr>
                <w:rFonts w:ascii="Arial" w:hAnsi="Arial" w:cs="Arial"/>
                <w:sz w:val="18"/>
                <w:szCs w:val="18"/>
              </w:rPr>
              <w:t>, parafina</w:t>
            </w:r>
            <w:r w:rsidRPr="00A1345A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Możliwość użycia odczynników w oryginalnych opakowaniach bez konieczności ich przelewania.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Pojemność procesora- minimum 200 standardowych kasetek histopatologicznych.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Urządzenie wyposażone w czujnik poziomu parafiny.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005F80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Mieszanie odczynników w retortach za pomocą mieszadła magnetycznego</w:t>
            </w:r>
            <w:r w:rsidR="002E67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4C5F" w:rsidRPr="00CA4C5F">
              <w:rPr>
                <w:rFonts w:ascii="Arial" w:hAnsi="Arial" w:cs="Arial"/>
                <w:color w:val="FF0000"/>
                <w:sz w:val="18"/>
                <w:szCs w:val="18"/>
              </w:rPr>
              <w:t>Zamawiający o dopuszczenia urządzenie wyposażone w system mechanicznego obrotowego ruch kosza na kasetki</w:t>
            </w:r>
            <w:bookmarkStart w:id="0" w:name="_GoBack"/>
            <w:bookmarkEnd w:id="0"/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Możliwość programowania urządzenia niezależnie od ustawień fabrycznych.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Możliwość przeprowadzenia materiału bez użycia mikrofal.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Możliwość pracy bez użycia ksylenu.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 xml:space="preserve">Możliwość przeprowadzenia materiału z pominięciem dodatkowego </w:t>
            </w:r>
            <w:proofErr w:type="spellStart"/>
            <w:r w:rsidRPr="00A1345A">
              <w:rPr>
                <w:rFonts w:ascii="Arial" w:hAnsi="Arial" w:cs="Arial"/>
                <w:sz w:val="18"/>
                <w:szCs w:val="18"/>
              </w:rPr>
              <w:t>dotrwalenia</w:t>
            </w:r>
            <w:proofErr w:type="spellEnd"/>
            <w:r w:rsidRPr="00A1345A">
              <w:rPr>
                <w:rFonts w:ascii="Arial" w:hAnsi="Arial" w:cs="Arial"/>
                <w:sz w:val="18"/>
                <w:szCs w:val="18"/>
              </w:rPr>
              <w:t xml:space="preserve"> w formalinie.</w:t>
            </w:r>
          </w:p>
        </w:tc>
      </w:tr>
      <w:tr w:rsidR="005B78C5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8E66E9" w:rsidRDefault="005B78C5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A1345A" w:rsidRDefault="005B78C5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Możliwość wymiany odczynników w trakcie przeprowadzania materiału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9006C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09006C" w:rsidRPr="008E66E9" w:rsidRDefault="0009006C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09006C" w:rsidRPr="005B78C5" w:rsidRDefault="0009006C" w:rsidP="00005F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integracji ze systemem szpitalnym</w:t>
            </w:r>
            <w:r w:rsidR="00005F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Urządzenie wyposażone w zewnętrzny system wentylacji z możliwością podpięcia do obiegu szpitalnego.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Urządzenie wyposażone w czujnik jakości odczynnika.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Port UPS pozwalający podtrzymać pracę urządzenia w przypadku braku zasilania.</w:t>
            </w:r>
          </w:p>
        </w:tc>
      </w:tr>
      <w:tr w:rsidR="00D42022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D42022" w:rsidRPr="008E66E9" w:rsidRDefault="00D42022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D42022" w:rsidRPr="00A1345A" w:rsidRDefault="00D42022" w:rsidP="00E8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Sterowanie poprzez kolorowy ekran dotykowy.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D42022" w:rsidRDefault="00A1345A" w:rsidP="00E84AD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 xml:space="preserve">Na wyposażeniu: </w:t>
            </w:r>
            <w:r w:rsidR="00D42022">
              <w:rPr>
                <w:rFonts w:ascii="Arial" w:hAnsi="Arial" w:cs="Arial"/>
                <w:sz w:val="18"/>
                <w:szCs w:val="18"/>
              </w:rPr>
              <w:t xml:space="preserve">minimum </w:t>
            </w:r>
            <w:r w:rsidRPr="00A1345A">
              <w:rPr>
                <w:rFonts w:ascii="Arial" w:hAnsi="Arial" w:cs="Arial"/>
                <w:sz w:val="18"/>
                <w:szCs w:val="18"/>
              </w:rPr>
              <w:t>3 koszyki na co najmniej 200 kasetek standardowych; UPS;</w:t>
            </w:r>
            <w:r w:rsidR="00D42022">
              <w:rPr>
                <w:rFonts w:ascii="Arial" w:hAnsi="Arial" w:cs="Arial"/>
                <w:sz w:val="18"/>
                <w:szCs w:val="18"/>
              </w:rPr>
              <w:t xml:space="preserve"> minimum 10 b</w:t>
            </w:r>
            <w:r w:rsidR="00D42022" w:rsidRPr="00D42022">
              <w:rPr>
                <w:rFonts w:ascii="Arial" w:hAnsi="Arial" w:cs="Arial"/>
                <w:sz w:val="18"/>
                <w:szCs w:val="18"/>
              </w:rPr>
              <w:t>utli na odczynniki</w:t>
            </w:r>
            <w:r w:rsidR="00D4202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Certyfikat CE IVD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6A3C97" w:rsidRDefault="006A3C97" w:rsidP="00463FCF">
      <w:pPr>
        <w:rPr>
          <w:rFonts w:ascii="Arial" w:hAnsi="Arial" w:cs="Arial"/>
          <w:sz w:val="18"/>
          <w:szCs w:val="18"/>
          <w:vertAlign w:val="subscript"/>
        </w:rPr>
      </w:pPr>
    </w:p>
    <w:p w:rsidR="00EE1F3F" w:rsidRPr="002162E9" w:rsidRDefault="00EE1F3F" w:rsidP="00463FCF">
      <w:pPr>
        <w:rPr>
          <w:rFonts w:ascii="Arial" w:hAnsi="Arial" w:cs="Arial"/>
          <w:sz w:val="18"/>
          <w:szCs w:val="18"/>
          <w:vertAlign w:val="subscript"/>
        </w:rPr>
      </w:pPr>
    </w:p>
    <w:sectPr w:rsidR="00EE1F3F" w:rsidRPr="002162E9" w:rsidSect="006646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F3A" w:rsidRDefault="002F1F3A">
      <w:r>
        <w:separator/>
      </w:r>
    </w:p>
  </w:endnote>
  <w:endnote w:type="continuationSeparator" w:id="0">
    <w:p w:rsidR="002F1F3A" w:rsidRDefault="002F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Times New Roman"/>
    <w:charset w:val="01"/>
    <w:family w:val="roman"/>
    <w:pitch w:val="variable"/>
  </w:font>
  <w:font w:name="FZLTHJW--GB1-0">
    <w:altName w:val="Times New Roman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36" w:rsidRDefault="006D3ECB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fldChar w:fldCharType="end"/>
    </w:r>
  </w:p>
  <w:p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36" w:rsidRDefault="0031412D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96" w:rsidRDefault="00FB5C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F3A" w:rsidRDefault="002F1F3A">
      <w:r>
        <w:separator/>
      </w:r>
    </w:p>
  </w:footnote>
  <w:footnote w:type="continuationSeparator" w:id="0">
    <w:p w:rsidR="002F1F3A" w:rsidRDefault="002F1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96" w:rsidRDefault="00FB5C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75" w:rsidRDefault="00FB5C96">
    <w:pPr>
      <w:pStyle w:val="Nagwek"/>
      <w:rPr>
        <w:rFonts w:ascii="Verdana" w:eastAsia="HG Mincho Light J" w:hAnsi="Verdana"/>
        <w:color w:val="000000"/>
        <w:sz w:val="20"/>
        <w:szCs w:val="20"/>
        <w:lang w:val="pl-PL" w:eastAsia="pl-PL"/>
      </w:rPr>
    </w:pPr>
    <w:r w:rsidRPr="00FB5C96">
      <w:rPr>
        <w:rFonts w:ascii="Verdana" w:eastAsia="HG Mincho Light J" w:hAnsi="Verdana"/>
        <w:color w:val="000000"/>
        <w:sz w:val="20"/>
        <w:szCs w:val="20"/>
        <w:lang w:val="pl-PL" w:eastAsia="pl-PL"/>
      </w:rPr>
      <w:t>WCPIT/EA/381-59/2024</w:t>
    </w:r>
  </w:p>
  <w:p w:rsidR="00FB5C96" w:rsidRDefault="00FB5C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96" w:rsidRDefault="00FB5C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C3655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654B7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CD134E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051943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607B2"/>
    <w:multiLevelType w:val="hybridMultilevel"/>
    <w:tmpl w:val="03567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13627D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16"/>
  </w:num>
  <w:num w:numId="8">
    <w:abstractNumId w:val="8"/>
  </w:num>
  <w:num w:numId="9">
    <w:abstractNumId w:val="4"/>
  </w:num>
  <w:num w:numId="10">
    <w:abstractNumId w:val="14"/>
  </w:num>
  <w:num w:numId="11">
    <w:abstractNumId w:val="20"/>
  </w:num>
  <w:num w:numId="12">
    <w:abstractNumId w:val="19"/>
  </w:num>
  <w:num w:numId="13">
    <w:abstractNumId w:val="15"/>
  </w:num>
  <w:num w:numId="14">
    <w:abstractNumId w:val="18"/>
  </w:num>
  <w:num w:numId="15">
    <w:abstractNumId w:val="6"/>
  </w:num>
  <w:num w:numId="16">
    <w:abstractNumId w:val="5"/>
  </w:num>
  <w:num w:numId="17">
    <w:abstractNumId w:val="17"/>
  </w:num>
  <w:num w:numId="18">
    <w:abstractNumId w:val="13"/>
  </w:num>
  <w:num w:numId="19">
    <w:abstractNumId w:val="11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05F80"/>
    <w:rsid w:val="000306BA"/>
    <w:rsid w:val="00032165"/>
    <w:rsid w:val="00032B5A"/>
    <w:rsid w:val="000337F0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06C"/>
    <w:rsid w:val="00090744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154D1"/>
    <w:rsid w:val="00132D38"/>
    <w:rsid w:val="001358D2"/>
    <w:rsid w:val="001431EF"/>
    <w:rsid w:val="0014670F"/>
    <w:rsid w:val="00157776"/>
    <w:rsid w:val="00161C0A"/>
    <w:rsid w:val="00171E6D"/>
    <w:rsid w:val="001759D4"/>
    <w:rsid w:val="00176EAA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2A2E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77FF"/>
    <w:rsid w:val="00201856"/>
    <w:rsid w:val="0020715C"/>
    <w:rsid w:val="0020762D"/>
    <w:rsid w:val="0021125F"/>
    <w:rsid w:val="00211B31"/>
    <w:rsid w:val="0021534D"/>
    <w:rsid w:val="002162E9"/>
    <w:rsid w:val="00217157"/>
    <w:rsid w:val="00217A47"/>
    <w:rsid w:val="002245B6"/>
    <w:rsid w:val="00231F33"/>
    <w:rsid w:val="0023695A"/>
    <w:rsid w:val="00244DD0"/>
    <w:rsid w:val="0024709C"/>
    <w:rsid w:val="00247297"/>
    <w:rsid w:val="00251927"/>
    <w:rsid w:val="00251BD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FBE"/>
    <w:rsid w:val="00287205"/>
    <w:rsid w:val="00293BA9"/>
    <w:rsid w:val="002955B3"/>
    <w:rsid w:val="002A3BA5"/>
    <w:rsid w:val="002A5889"/>
    <w:rsid w:val="002B616D"/>
    <w:rsid w:val="002B7FD0"/>
    <w:rsid w:val="002C1B36"/>
    <w:rsid w:val="002D27AA"/>
    <w:rsid w:val="002E15E4"/>
    <w:rsid w:val="002E67B1"/>
    <w:rsid w:val="002E7730"/>
    <w:rsid w:val="002F1D45"/>
    <w:rsid w:val="002F1F3A"/>
    <w:rsid w:val="002F2F35"/>
    <w:rsid w:val="002F5C59"/>
    <w:rsid w:val="002F79C9"/>
    <w:rsid w:val="00301B32"/>
    <w:rsid w:val="00307272"/>
    <w:rsid w:val="00310222"/>
    <w:rsid w:val="0031412D"/>
    <w:rsid w:val="00314F1E"/>
    <w:rsid w:val="003168E9"/>
    <w:rsid w:val="00323E4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37375"/>
    <w:rsid w:val="0035190F"/>
    <w:rsid w:val="00352A4C"/>
    <w:rsid w:val="00352C28"/>
    <w:rsid w:val="00352F43"/>
    <w:rsid w:val="0036095B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B776D"/>
    <w:rsid w:val="003C03C8"/>
    <w:rsid w:val="003C5BF1"/>
    <w:rsid w:val="003C70D5"/>
    <w:rsid w:val="003D2F83"/>
    <w:rsid w:val="003D57F1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367A4"/>
    <w:rsid w:val="00443196"/>
    <w:rsid w:val="00443A41"/>
    <w:rsid w:val="004445A6"/>
    <w:rsid w:val="00451930"/>
    <w:rsid w:val="00454B18"/>
    <w:rsid w:val="00456FF8"/>
    <w:rsid w:val="004611EA"/>
    <w:rsid w:val="00463FCF"/>
    <w:rsid w:val="004669FC"/>
    <w:rsid w:val="00471FDC"/>
    <w:rsid w:val="00474463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13F4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3349"/>
    <w:rsid w:val="005251B6"/>
    <w:rsid w:val="005406F4"/>
    <w:rsid w:val="00541DDA"/>
    <w:rsid w:val="00542502"/>
    <w:rsid w:val="00565078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B78C5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171AE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3EC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6546"/>
    <w:rsid w:val="007A6276"/>
    <w:rsid w:val="007A7674"/>
    <w:rsid w:val="007C41F0"/>
    <w:rsid w:val="007C456B"/>
    <w:rsid w:val="007D0611"/>
    <w:rsid w:val="007D0730"/>
    <w:rsid w:val="007D2233"/>
    <w:rsid w:val="007D6696"/>
    <w:rsid w:val="007E1E51"/>
    <w:rsid w:val="007E317A"/>
    <w:rsid w:val="007E333A"/>
    <w:rsid w:val="007E50C6"/>
    <w:rsid w:val="007F1F3F"/>
    <w:rsid w:val="007F2038"/>
    <w:rsid w:val="007F298C"/>
    <w:rsid w:val="007F5DF3"/>
    <w:rsid w:val="0080115F"/>
    <w:rsid w:val="008147F1"/>
    <w:rsid w:val="00815D80"/>
    <w:rsid w:val="008207F7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68CA"/>
    <w:rsid w:val="008874B2"/>
    <w:rsid w:val="00891D48"/>
    <w:rsid w:val="00893F42"/>
    <w:rsid w:val="008A11CC"/>
    <w:rsid w:val="008A13FD"/>
    <w:rsid w:val="008A1E1E"/>
    <w:rsid w:val="008B60F5"/>
    <w:rsid w:val="008B7733"/>
    <w:rsid w:val="008C05A5"/>
    <w:rsid w:val="008C07F6"/>
    <w:rsid w:val="008C2C9E"/>
    <w:rsid w:val="008C2F86"/>
    <w:rsid w:val="008D3245"/>
    <w:rsid w:val="008E6347"/>
    <w:rsid w:val="008E66E9"/>
    <w:rsid w:val="008F3751"/>
    <w:rsid w:val="008F704C"/>
    <w:rsid w:val="009012E0"/>
    <w:rsid w:val="00915560"/>
    <w:rsid w:val="00924A2F"/>
    <w:rsid w:val="0093008F"/>
    <w:rsid w:val="009317A2"/>
    <w:rsid w:val="00932A60"/>
    <w:rsid w:val="00953F21"/>
    <w:rsid w:val="00963EC3"/>
    <w:rsid w:val="009646D9"/>
    <w:rsid w:val="00971075"/>
    <w:rsid w:val="00981CDD"/>
    <w:rsid w:val="009836ED"/>
    <w:rsid w:val="00986460"/>
    <w:rsid w:val="00986A67"/>
    <w:rsid w:val="0098777E"/>
    <w:rsid w:val="00993D73"/>
    <w:rsid w:val="009961C7"/>
    <w:rsid w:val="009A138F"/>
    <w:rsid w:val="009A68F9"/>
    <w:rsid w:val="009C0E6A"/>
    <w:rsid w:val="009C4BD2"/>
    <w:rsid w:val="009C51F0"/>
    <w:rsid w:val="009C75F0"/>
    <w:rsid w:val="009D00BB"/>
    <w:rsid w:val="009D77A4"/>
    <w:rsid w:val="009D7800"/>
    <w:rsid w:val="009E7908"/>
    <w:rsid w:val="009F74D9"/>
    <w:rsid w:val="00A04E9F"/>
    <w:rsid w:val="00A05D54"/>
    <w:rsid w:val="00A078CC"/>
    <w:rsid w:val="00A1179A"/>
    <w:rsid w:val="00A1345A"/>
    <w:rsid w:val="00A14A34"/>
    <w:rsid w:val="00A1519C"/>
    <w:rsid w:val="00A16329"/>
    <w:rsid w:val="00A17042"/>
    <w:rsid w:val="00A20B72"/>
    <w:rsid w:val="00A23F62"/>
    <w:rsid w:val="00A339AB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5BB4"/>
    <w:rsid w:val="00AF0CA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A3BA2"/>
    <w:rsid w:val="00BB0230"/>
    <w:rsid w:val="00BB2935"/>
    <w:rsid w:val="00BB3C2E"/>
    <w:rsid w:val="00BB460F"/>
    <w:rsid w:val="00BB489C"/>
    <w:rsid w:val="00BC0FCC"/>
    <w:rsid w:val="00BC13B4"/>
    <w:rsid w:val="00BC220F"/>
    <w:rsid w:val="00BC50F2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17AE"/>
    <w:rsid w:val="00C6245C"/>
    <w:rsid w:val="00C631C1"/>
    <w:rsid w:val="00C736EB"/>
    <w:rsid w:val="00C75EFD"/>
    <w:rsid w:val="00C767D0"/>
    <w:rsid w:val="00C779B6"/>
    <w:rsid w:val="00C86A43"/>
    <w:rsid w:val="00C916CF"/>
    <w:rsid w:val="00CA4C5F"/>
    <w:rsid w:val="00CA7551"/>
    <w:rsid w:val="00CB0C2F"/>
    <w:rsid w:val="00CB2640"/>
    <w:rsid w:val="00CB4FDB"/>
    <w:rsid w:val="00CB5EBE"/>
    <w:rsid w:val="00CC2213"/>
    <w:rsid w:val="00CD2813"/>
    <w:rsid w:val="00CE190A"/>
    <w:rsid w:val="00CE2727"/>
    <w:rsid w:val="00CE4031"/>
    <w:rsid w:val="00CE5ACF"/>
    <w:rsid w:val="00CF253E"/>
    <w:rsid w:val="00D025CC"/>
    <w:rsid w:val="00D1121E"/>
    <w:rsid w:val="00D121D9"/>
    <w:rsid w:val="00D1314D"/>
    <w:rsid w:val="00D1458B"/>
    <w:rsid w:val="00D1638D"/>
    <w:rsid w:val="00D235AB"/>
    <w:rsid w:val="00D244D4"/>
    <w:rsid w:val="00D272B0"/>
    <w:rsid w:val="00D327EB"/>
    <w:rsid w:val="00D400D0"/>
    <w:rsid w:val="00D42022"/>
    <w:rsid w:val="00D4358C"/>
    <w:rsid w:val="00D4367E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B3370"/>
    <w:rsid w:val="00DC09C3"/>
    <w:rsid w:val="00DC33A1"/>
    <w:rsid w:val="00DC4584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336C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2BB7"/>
    <w:rsid w:val="00E741CB"/>
    <w:rsid w:val="00E74989"/>
    <w:rsid w:val="00E77B97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061"/>
    <w:rsid w:val="00ED54EE"/>
    <w:rsid w:val="00ED629F"/>
    <w:rsid w:val="00EE16C7"/>
    <w:rsid w:val="00EE1F3F"/>
    <w:rsid w:val="00EE4256"/>
    <w:rsid w:val="00F013DF"/>
    <w:rsid w:val="00F0576B"/>
    <w:rsid w:val="00F05811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4949"/>
    <w:rsid w:val="00F362EE"/>
    <w:rsid w:val="00F365D9"/>
    <w:rsid w:val="00F431C6"/>
    <w:rsid w:val="00F44C9F"/>
    <w:rsid w:val="00F46496"/>
    <w:rsid w:val="00F47298"/>
    <w:rsid w:val="00F53285"/>
    <w:rsid w:val="00F7215E"/>
    <w:rsid w:val="00F81278"/>
    <w:rsid w:val="00F82868"/>
    <w:rsid w:val="00F860B3"/>
    <w:rsid w:val="00F90A24"/>
    <w:rsid w:val="00F96ED6"/>
    <w:rsid w:val="00FA64BD"/>
    <w:rsid w:val="00FB22C4"/>
    <w:rsid w:val="00FB5C96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0E2DD-375A-4C47-9D97-6ABA257A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Sylwia Zielińska</cp:lastModifiedBy>
  <cp:revision>3</cp:revision>
  <cp:lastPrinted>2009-08-24T10:24:00Z</cp:lastPrinted>
  <dcterms:created xsi:type="dcterms:W3CDTF">2024-08-13T09:38:00Z</dcterms:created>
  <dcterms:modified xsi:type="dcterms:W3CDTF">2024-08-19T07:38:00Z</dcterms:modified>
</cp:coreProperties>
</file>