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704516">
        <w:rPr>
          <w:rFonts w:ascii="Verdana" w:hAnsi="Verdana"/>
          <w:b/>
          <w:sz w:val="20"/>
          <w:szCs w:val="20"/>
        </w:rPr>
        <w:t xml:space="preserve"> </w:t>
      </w:r>
      <w:r w:rsidR="007E314D">
        <w:rPr>
          <w:rFonts w:ascii="Verdana" w:hAnsi="Verdana"/>
          <w:b/>
          <w:sz w:val="20"/>
          <w:szCs w:val="20"/>
        </w:rPr>
        <w:t>odzieży jednorazowej, prześcieradeł, serwet i obłożeń</w:t>
      </w:r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D5487C">
        <w:rPr>
          <w:rFonts w:ascii="Verdana" w:hAnsi="Verdana"/>
          <w:b/>
          <w:sz w:val="20"/>
          <w:szCs w:val="20"/>
        </w:rPr>
        <w:t xml:space="preserve"> </w:t>
      </w:r>
      <w:r w:rsidR="00E36D87">
        <w:rPr>
          <w:rFonts w:ascii="Verdana" w:hAnsi="Verdana"/>
          <w:b/>
          <w:sz w:val="20"/>
          <w:szCs w:val="20"/>
        </w:rPr>
        <w:t>odzieży jednorazowej, prześcieradeł, serwet i obłożeń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7875D8">
        <w:rPr>
          <w:rFonts w:ascii="Verdana" w:hAnsi="Verdana"/>
          <w:sz w:val="20"/>
          <w:szCs w:val="20"/>
        </w:rPr>
        <w:t>4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7875D8">
        <w:rPr>
          <w:rFonts w:ascii="Verdana" w:hAnsi="Verdana"/>
          <w:sz w:val="20"/>
          <w:szCs w:val="20"/>
        </w:rPr>
        <w:t>y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911085" w:rsidRDefault="00911085" w:rsidP="00911085">
      <w:pPr>
        <w:jc w:val="both"/>
        <w:rPr>
          <w:rFonts w:ascii="Verdana" w:hAnsi="Verdana"/>
          <w:b/>
          <w:sz w:val="20"/>
          <w:szCs w:val="20"/>
        </w:rPr>
      </w:pPr>
      <w:r w:rsidRPr="00911085">
        <w:rPr>
          <w:rFonts w:ascii="Times New Roman" w:hAnsi="Times New Roman"/>
          <w:b/>
          <w:sz w:val="22"/>
        </w:rPr>
        <w:t>33</w:t>
      </w:r>
      <w:r w:rsidR="0043325F">
        <w:rPr>
          <w:rFonts w:ascii="Times New Roman" w:hAnsi="Times New Roman"/>
          <w:b/>
          <w:sz w:val="22"/>
        </w:rPr>
        <w:t>1990</w:t>
      </w:r>
      <w:r w:rsidR="007875D8">
        <w:rPr>
          <w:rFonts w:ascii="Times New Roman" w:hAnsi="Times New Roman"/>
          <w:b/>
          <w:sz w:val="22"/>
        </w:rPr>
        <w:t>0</w:t>
      </w:r>
      <w:r w:rsidR="0043325F">
        <w:rPr>
          <w:rFonts w:ascii="Times New Roman" w:hAnsi="Times New Roman"/>
          <w:b/>
          <w:sz w:val="22"/>
        </w:rPr>
        <w:t>0-1;</w:t>
      </w:r>
      <w:r w:rsidRPr="00911085">
        <w:rPr>
          <w:rFonts w:ascii="Times New Roman" w:hAnsi="Times New Roman"/>
          <w:b/>
          <w:sz w:val="22"/>
        </w:rPr>
        <w:t xml:space="preserve">  </w:t>
      </w:r>
      <w:r w:rsidR="0043325F">
        <w:rPr>
          <w:rFonts w:ascii="Times New Roman" w:hAnsi="Times New Roman"/>
          <w:b/>
          <w:sz w:val="22"/>
        </w:rPr>
        <w:t xml:space="preserve"> 395182100-8</w:t>
      </w:r>
      <w:r w:rsidR="00A73F6C" w:rsidRPr="00911085">
        <w:rPr>
          <w:rFonts w:ascii="Times New Roman" w:hAnsi="Times New Roman"/>
          <w:b/>
        </w:rPr>
        <w:t>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5C274C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</w:p>
    <w:p w:rsidR="00A750BC" w:rsidRPr="00473D45" w:rsidRDefault="00A750BC" w:rsidP="00A750BC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A750BC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b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>p</w:t>
      </w:r>
      <w:r w:rsidR="00A750BC" w:rsidRPr="00473D45">
        <w:rPr>
          <w:rFonts w:ascii="Verdana" w:hAnsi="Verdana"/>
          <w:color w:val="auto"/>
          <w:sz w:val="20"/>
          <w:szCs w:val="20"/>
        </w:rPr>
        <w:t>rób</w:t>
      </w:r>
      <w:r>
        <w:rPr>
          <w:rFonts w:ascii="Verdana" w:hAnsi="Verdana"/>
          <w:color w:val="auto"/>
          <w:sz w:val="20"/>
          <w:szCs w:val="20"/>
        </w:rPr>
        <w:t>ek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(</w:t>
      </w:r>
      <w:r w:rsidR="00A750BC" w:rsidRPr="00473D45">
        <w:rPr>
          <w:rFonts w:ascii="Verdana" w:hAnsi="Verdana"/>
          <w:color w:val="auto"/>
          <w:sz w:val="20"/>
          <w:szCs w:val="20"/>
        </w:rPr>
        <w:t>gotowych do użycia w warunkach szpitalnych</w:t>
      </w:r>
      <w:r>
        <w:rPr>
          <w:rFonts w:ascii="Verdana" w:hAnsi="Verdana"/>
          <w:color w:val="auto"/>
          <w:sz w:val="20"/>
          <w:szCs w:val="20"/>
        </w:rPr>
        <w:t>)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oferowanych </w:t>
      </w:r>
      <w:r w:rsidR="00A750BC" w:rsidRPr="00AA70FE">
        <w:rPr>
          <w:rFonts w:ascii="Verdana" w:hAnsi="Verdana"/>
          <w:color w:val="auto"/>
          <w:sz w:val="20"/>
          <w:szCs w:val="20"/>
          <w:u w:val="single"/>
        </w:rPr>
        <w:t>wyrobów medycznych,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których autentyczność musi zostać poświadczona przez wykonawcę na żądanie zamawiającego, co najmniej po jednej  szt</w:t>
      </w:r>
      <w:r w:rsidR="00A750BC">
        <w:rPr>
          <w:rFonts w:ascii="Verdana" w:hAnsi="Verdana"/>
          <w:color w:val="auto"/>
          <w:sz w:val="20"/>
          <w:szCs w:val="20"/>
        </w:rPr>
        <w:t xml:space="preserve">uce w odniesieniu do  </w:t>
      </w:r>
      <w:r w:rsidR="00AA70FE">
        <w:rPr>
          <w:rFonts w:ascii="Verdana" w:hAnsi="Verdana"/>
          <w:color w:val="auto"/>
          <w:sz w:val="20"/>
          <w:szCs w:val="20"/>
        </w:rPr>
        <w:t xml:space="preserve">wszystkich </w:t>
      </w:r>
      <w:r w:rsidR="00A750BC">
        <w:rPr>
          <w:rFonts w:ascii="Verdana" w:hAnsi="Verdana"/>
          <w:color w:val="auto"/>
          <w:sz w:val="20"/>
          <w:szCs w:val="20"/>
        </w:rPr>
        <w:t>pakietów</w:t>
      </w:r>
      <w:r w:rsidR="00AA70FE">
        <w:rPr>
          <w:rFonts w:ascii="Verdana" w:hAnsi="Verdana"/>
          <w:color w:val="auto"/>
          <w:sz w:val="20"/>
          <w:szCs w:val="20"/>
        </w:rPr>
        <w:t xml:space="preserve"> i pozycji</w:t>
      </w:r>
      <w:r>
        <w:rPr>
          <w:rFonts w:ascii="Verdana" w:hAnsi="Verdana"/>
          <w:color w:val="auto"/>
          <w:sz w:val="20"/>
          <w:szCs w:val="20"/>
        </w:rPr>
        <w:t>.</w:t>
      </w:r>
      <w:r w:rsidR="00A750BC">
        <w:rPr>
          <w:rFonts w:ascii="Verdana" w:hAnsi="Verdana"/>
          <w:color w:val="auto"/>
          <w:sz w:val="20"/>
          <w:szCs w:val="20"/>
        </w:rPr>
        <w:t xml:space="preserve"> </w:t>
      </w:r>
    </w:p>
    <w:p w:rsidR="00A750BC" w:rsidRPr="00473D45" w:rsidRDefault="00A750BC" w:rsidP="00E85846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A750BC" w:rsidRDefault="001A251E" w:rsidP="001A251E">
      <w:pPr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="00A750BC" w:rsidRPr="001A251E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="00A750BC" w:rsidRPr="001A251E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="00A750BC" w:rsidRPr="001A251E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="00A750BC" w:rsidRPr="001A25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="00A750BC" w:rsidRPr="001A251E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1A251E" w:rsidRPr="001A251E" w:rsidRDefault="001A251E" w:rsidP="001A251E">
      <w:pPr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1A251E" w:rsidRDefault="001A251E" w:rsidP="001A251E">
      <w:pPr>
        <w:pStyle w:val="Akapitzlist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 xml:space="preserve">Za wskazane Zamawiający uznaje zamieszczenie w przedłożonych materiałach zawierających opis techniczny oferowanych wyrobów informacji o numerze pakietu i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>pozycji, których dany opis dotyczy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1A251E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1A251E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E85846">
        <w:rPr>
          <w:rFonts w:ascii="Verdana" w:hAnsi="Verdana"/>
          <w:b/>
          <w:color w:val="auto"/>
          <w:sz w:val="20"/>
          <w:szCs w:val="20"/>
        </w:rPr>
        <w:t>1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</w:t>
      </w:r>
      <w:r w:rsidRPr="005C274C">
        <w:rPr>
          <w:rFonts w:ascii="Verdana" w:hAnsi="Verdana"/>
          <w:sz w:val="20"/>
          <w:szCs w:val="20"/>
        </w:rPr>
        <w:lastRenderedPageBreak/>
        <w:t xml:space="preserve">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 xml:space="preserve">Informacja o warunkach udziału w postępowaniu o udzielenie </w:t>
      </w:r>
      <w:r w:rsidRPr="005C274C">
        <w:rPr>
          <w:rFonts w:ascii="Verdana" w:hAnsi="Verdana"/>
          <w:spacing w:val="5"/>
          <w:sz w:val="20"/>
          <w:szCs w:val="20"/>
        </w:rPr>
        <w:lastRenderedPageBreak/>
        <w:t>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1734FA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</w:t>
      </w: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 xml:space="preserve"> za wyjątkiem składania próbek wskazanych w Rozdziale IV SWZ.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82736E">
        <w:rPr>
          <w:rFonts w:ascii="Verdana" w:hAnsi="Verdana"/>
          <w:color w:val="auto"/>
          <w:sz w:val="20"/>
          <w:szCs w:val="20"/>
        </w:rPr>
        <w:t>Agnieszka Marczak - 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82736E">
        <w:rPr>
          <w:rFonts w:ascii="Verdana" w:hAnsi="Verdana"/>
          <w:color w:val="auto"/>
          <w:sz w:val="20"/>
          <w:szCs w:val="20"/>
        </w:rPr>
        <w:t>03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0E626F">
        <w:rPr>
          <w:rFonts w:ascii="Verdana" w:hAnsi="Verdana" w:cs="Arial"/>
          <w:b/>
          <w:sz w:val="20"/>
          <w:szCs w:val="20"/>
        </w:rPr>
        <w:t>22</w:t>
      </w:r>
      <w:r w:rsidR="00895814">
        <w:rPr>
          <w:rFonts w:ascii="Verdana" w:hAnsi="Verdana" w:cs="Arial"/>
          <w:b/>
          <w:sz w:val="20"/>
          <w:szCs w:val="20"/>
        </w:rPr>
        <w:t>.</w:t>
      </w:r>
      <w:r w:rsidR="000E626F">
        <w:rPr>
          <w:rFonts w:ascii="Verdana" w:hAnsi="Verdana" w:cs="Arial"/>
          <w:b/>
          <w:sz w:val="20"/>
          <w:szCs w:val="20"/>
        </w:rPr>
        <w:t>10</w:t>
      </w:r>
      <w:r w:rsidR="008A7165">
        <w:rPr>
          <w:rFonts w:ascii="Verdana" w:hAnsi="Verdana" w:cs="Arial"/>
          <w:b/>
          <w:sz w:val="20"/>
          <w:szCs w:val="20"/>
        </w:rPr>
        <w:t>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E626F">
        <w:rPr>
          <w:rFonts w:ascii="Verdana" w:eastAsia="Times New Roman" w:hAnsi="Verdana"/>
          <w:b/>
          <w:color w:val="auto"/>
          <w:sz w:val="20"/>
          <w:szCs w:val="20"/>
        </w:rPr>
        <w:t>23</w:t>
      </w:r>
      <w:r w:rsidR="00895814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0E626F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0E626F">
        <w:rPr>
          <w:rFonts w:ascii="Verdana" w:eastAsia="Times New Roman" w:hAnsi="Verdana"/>
          <w:b/>
          <w:color w:val="auto"/>
          <w:sz w:val="20"/>
          <w:szCs w:val="20"/>
        </w:rPr>
        <w:t>23</w:t>
      </w:r>
      <w:r w:rsidR="00895814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0E626F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  <w:r w:rsidR="000E626F">
        <w:rPr>
          <w:rFonts w:ascii="Verdana" w:hAnsi="Verdana"/>
          <w:b/>
          <w:sz w:val="20"/>
          <w:szCs w:val="20"/>
        </w:rPr>
        <w:t>.</w:t>
      </w:r>
    </w:p>
    <w:p w:rsidR="000E626F" w:rsidRPr="000E626F" w:rsidRDefault="000E626F" w:rsidP="000E626F">
      <w:pPr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środków </w:t>
      </w:r>
      <w:r w:rsidRPr="005C274C">
        <w:rPr>
          <w:rFonts w:ascii="Verdana" w:hAnsi="Verdana"/>
          <w:sz w:val="20"/>
          <w:szCs w:val="20"/>
        </w:rPr>
        <w:lastRenderedPageBreak/>
        <w:t>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895814">
        <w:rPr>
          <w:rFonts w:ascii="Verdana" w:hAnsi="Verdana" w:cs="Courier New"/>
          <w:sz w:val="20"/>
          <w:szCs w:val="20"/>
        </w:rPr>
        <w:t>1</w:t>
      </w:r>
      <w:r w:rsidR="007521FA">
        <w:rPr>
          <w:rFonts w:ascii="Verdana" w:hAnsi="Verdana" w:cs="Courier New"/>
          <w:sz w:val="20"/>
          <w:szCs w:val="20"/>
        </w:rPr>
        <w:t>2</w:t>
      </w:r>
      <w:r w:rsidR="00895814">
        <w:rPr>
          <w:rFonts w:ascii="Verdana" w:hAnsi="Verdana" w:cs="Courier New"/>
          <w:sz w:val="20"/>
          <w:szCs w:val="20"/>
        </w:rPr>
        <w:t>.0</w:t>
      </w:r>
      <w:r w:rsidR="007521FA">
        <w:rPr>
          <w:rFonts w:ascii="Verdana" w:hAnsi="Verdana" w:cs="Courier New"/>
          <w:sz w:val="20"/>
          <w:szCs w:val="20"/>
        </w:rPr>
        <w:t>9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494522">
        <w:rPr>
          <w:rFonts w:ascii="Verdana" w:hAnsi="Verdana" w:cs="Courier New"/>
          <w:sz w:val="20"/>
          <w:szCs w:val="20"/>
        </w:rPr>
        <w:t>4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D0" w:rsidRDefault="000A07D0">
      <w:r>
        <w:separator/>
      </w:r>
    </w:p>
    <w:p w:rsidR="000A07D0" w:rsidRDefault="000A07D0"/>
  </w:endnote>
  <w:endnote w:type="continuationSeparator" w:id="0">
    <w:p w:rsidR="000A07D0" w:rsidRDefault="000A07D0">
      <w:r>
        <w:continuationSeparator/>
      </w:r>
    </w:p>
    <w:p w:rsidR="000A07D0" w:rsidRDefault="000A07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1734F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734F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734FA" w:rsidRPr="00987333">
      <w:rPr>
        <w:rFonts w:ascii="Times New Roman" w:hAnsi="Times New Roman"/>
        <w:b/>
        <w:sz w:val="14"/>
        <w:szCs w:val="14"/>
      </w:rPr>
      <w:fldChar w:fldCharType="separate"/>
    </w:r>
    <w:r w:rsidR="007521FA">
      <w:rPr>
        <w:rFonts w:ascii="Times New Roman" w:hAnsi="Times New Roman"/>
        <w:b/>
        <w:noProof/>
        <w:sz w:val="14"/>
        <w:szCs w:val="14"/>
      </w:rPr>
      <w:t>11</w:t>
    </w:r>
    <w:r w:rsidR="001734F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734F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734FA" w:rsidRPr="00987333">
      <w:rPr>
        <w:rFonts w:ascii="Times New Roman" w:hAnsi="Times New Roman"/>
        <w:sz w:val="14"/>
        <w:szCs w:val="14"/>
      </w:rPr>
      <w:fldChar w:fldCharType="separate"/>
    </w:r>
    <w:r w:rsidR="007521FA">
      <w:rPr>
        <w:rFonts w:ascii="Times New Roman" w:hAnsi="Times New Roman"/>
        <w:noProof/>
        <w:sz w:val="14"/>
        <w:szCs w:val="14"/>
      </w:rPr>
      <w:t>11</w:t>
    </w:r>
    <w:r w:rsidR="001734F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D0" w:rsidRDefault="000A07D0">
      <w:r>
        <w:separator/>
      </w:r>
    </w:p>
    <w:p w:rsidR="000A07D0" w:rsidRDefault="000A07D0"/>
  </w:footnote>
  <w:footnote w:type="continuationSeparator" w:id="0">
    <w:p w:rsidR="000A07D0" w:rsidRDefault="000A07D0">
      <w:r>
        <w:continuationSeparator/>
      </w:r>
    </w:p>
    <w:p w:rsidR="000A07D0" w:rsidRDefault="000A07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116CE">
      <w:rPr>
        <w:rFonts w:ascii="Verdana" w:hAnsi="Verdana"/>
        <w:sz w:val="20"/>
        <w:szCs w:val="20"/>
      </w:rPr>
      <w:t>72</w:t>
    </w:r>
    <w:r>
      <w:rPr>
        <w:rFonts w:ascii="Verdana" w:hAnsi="Verdana"/>
        <w:sz w:val="20"/>
        <w:szCs w:val="20"/>
      </w:rPr>
      <w:t>/202</w:t>
    </w:r>
    <w:r w:rsidR="00504DB5">
      <w:rPr>
        <w:rFonts w:ascii="Verdana" w:hAnsi="Verdana"/>
        <w:sz w:val="20"/>
        <w:szCs w:val="20"/>
      </w:rPr>
      <w:t>4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16CE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6F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4FA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1FA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875D8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952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46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D2F9-6DFE-4A54-96B1-0FAE5716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3778</Words>
  <Characters>22671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26397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81</cp:revision>
  <cp:lastPrinted>2024-07-10T11:06:00Z</cp:lastPrinted>
  <dcterms:created xsi:type="dcterms:W3CDTF">2023-11-17T10:20:00Z</dcterms:created>
  <dcterms:modified xsi:type="dcterms:W3CDTF">2024-09-11T14:10:00Z</dcterms:modified>
</cp:coreProperties>
</file>