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7D6CAA" w:rsidRDefault="000450FE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>WCPIT/EA/381-</w:t>
      </w:r>
      <w:r w:rsidR="008C155C" w:rsidRPr="007D6CAA">
        <w:rPr>
          <w:rFonts w:ascii="Bookman Old Style" w:hAnsi="Bookman Old Style"/>
        </w:rPr>
        <w:t>71</w:t>
      </w:r>
      <w:r w:rsidRPr="007D6CAA">
        <w:rPr>
          <w:rFonts w:ascii="Bookman Old Style" w:hAnsi="Bookman Old Style"/>
        </w:rPr>
        <w:t>/2024</w:t>
      </w:r>
      <w:r w:rsidR="007673CD" w:rsidRPr="007D6CAA">
        <w:rPr>
          <w:rFonts w:ascii="Bookman Old Style" w:hAnsi="Bookman Old Style"/>
        </w:rPr>
        <w:tab/>
      </w:r>
      <w:r w:rsidR="007673CD" w:rsidRPr="007D6CAA">
        <w:rPr>
          <w:rFonts w:ascii="Bookman Old Style" w:hAnsi="Bookman Old Style"/>
        </w:rPr>
        <w:tab/>
      </w:r>
    </w:p>
    <w:p w:rsidR="00EF4D90" w:rsidRPr="007D6CAA" w:rsidRDefault="007673CD" w:rsidP="00DA6F9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 xml:space="preserve">Poznań, </w:t>
      </w:r>
      <w:r w:rsidR="008C155C" w:rsidRPr="007D6CAA">
        <w:rPr>
          <w:rFonts w:ascii="Bookman Old Style" w:hAnsi="Bookman Old Style"/>
        </w:rPr>
        <w:t>17.09.</w:t>
      </w:r>
      <w:r w:rsidR="000450FE" w:rsidRPr="007D6CAA">
        <w:rPr>
          <w:rFonts w:ascii="Bookman Old Style" w:hAnsi="Bookman Old Style"/>
        </w:rPr>
        <w:t>2024</w:t>
      </w:r>
      <w:r w:rsidR="006573EF" w:rsidRPr="007D6CAA">
        <w:rPr>
          <w:rFonts w:ascii="Bookman Old Style" w:hAnsi="Bookman Old Style"/>
        </w:rPr>
        <w:t xml:space="preserve"> r</w:t>
      </w:r>
      <w:r w:rsidR="00742FF3" w:rsidRPr="007D6CAA">
        <w:rPr>
          <w:rFonts w:ascii="Bookman Old Style" w:hAnsi="Bookman Old Style"/>
        </w:rPr>
        <w:t>.</w:t>
      </w:r>
    </w:p>
    <w:p w:rsidR="00884DCC" w:rsidRPr="007D6CAA" w:rsidRDefault="00884DCC" w:rsidP="00DA6F9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</w:p>
    <w:p w:rsidR="007673CD" w:rsidRPr="007D6CAA" w:rsidRDefault="007673CD" w:rsidP="00DA6F9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ab/>
      </w:r>
      <w:r w:rsidRPr="007D6CAA">
        <w:rPr>
          <w:rFonts w:ascii="Bookman Old Style" w:hAnsi="Bookman Old Style"/>
        </w:rPr>
        <w:tab/>
      </w:r>
    </w:p>
    <w:p w:rsidR="007673CD" w:rsidRPr="007D6CAA" w:rsidRDefault="007673CD" w:rsidP="00DA6F9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>Uczestnicy postępowania</w:t>
      </w:r>
    </w:p>
    <w:p w:rsidR="00884DCC" w:rsidRPr="007D6CAA" w:rsidRDefault="00884DCC" w:rsidP="00DA6F9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</w:p>
    <w:p w:rsidR="00EF4D90" w:rsidRPr="007D6CAA" w:rsidRDefault="00EF4D90" w:rsidP="00DA6F9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</w:p>
    <w:p w:rsidR="006E06EB" w:rsidRPr="007D6CAA" w:rsidRDefault="006573EF" w:rsidP="00DA6F97">
      <w:pPr>
        <w:pStyle w:val="Nagwek"/>
        <w:tabs>
          <w:tab w:val="left" w:pos="2580"/>
          <w:tab w:val="center" w:pos="4422"/>
        </w:tabs>
        <w:spacing w:line="360" w:lineRule="auto"/>
        <w:jc w:val="both"/>
        <w:rPr>
          <w:rFonts w:ascii="Bookman Old Style" w:hAnsi="Bookman Old Style"/>
          <w:b/>
          <w:bCs/>
        </w:rPr>
      </w:pPr>
      <w:r w:rsidRPr="007D6CAA">
        <w:rPr>
          <w:rFonts w:ascii="Bookman Old Style" w:hAnsi="Bookman Old Style" w:cstheme="minorHAnsi"/>
          <w:b/>
        </w:rPr>
        <w:t xml:space="preserve">Dotyczy: </w:t>
      </w:r>
      <w:r w:rsidR="0007028D" w:rsidRPr="007D6CAA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7D6CAA">
        <w:rPr>
          <w:rFonts w:ascii="Bookman Old Style" w:hAnsi="Bookman Old Style" w:cs="Arial"/>
          <w:b/>
        </w:rPr>
        <w:t>podstawowym,</w:t>
      </w:r>
      <w:r w:rsidR="00742FF3" w:rsidRPr="007D6CAA">
        <w:rPr>
          <w:rFonts w:ascii="Bookman Old Style" w:hAnsi="Bookman Old Style" w:cs="Arial"/>
          <w:b/>
        </w:rPr>
        <w:t xml:space="preserve"> o którym mowa w art. 275 pkt. 1</w:t>
      </w:r>
      <w:r w:rsidR="0007028D" w:rsidRPr="007D6CAA">
        <w:rPr>
          <w:rFonts w:ascii="Bookman Old Style" w:hAnsi="Bookman Old Style" w:cs="Arial"/>
          <w:b/>
        </w:rPr>
        <w:t xml:space="preserve"> ustawy „Prawo zamówień publicznych”</w:t>
      </w:r>
      <w:r w:rsidR="0007028D" w:rsidRPr="007D6CAA">
        <w:rPr>
          <w:rFonts w:ascii="Bookman Old Style" w:hAnsi="Bookman Old Style" w:cs="Arial"/>
          <w:b/>
          <w:bCs/>
        </w:rPr>
        <w:t xml:space="preserve"> </w:t>
      </w:r>
      <w:r w:rsidR="00884DCC" w:rsidRPr="007D6CAA">
        <w:rPr>
          <w:rFonts w:ascii="Bookman Old Style" w:hAnsi="Bookman Old Style"/>
          <w:b/>
          <w:bCs/>
        </w:rPr>
        <w:t xml:space="preserve">na </w:t>
      </w:r>
      <w:r w:rsidR="008C155C" w:rsidRPr="007D6CAA">
        <w:rPr>
          <w:rFonts w:ascii="Bookman Old Style" w:hAnsi="Bookman Old Style"/>
          <w:b/>
          <w:bCs/>
        </w:rPr>
        <w:t>dostawę różnych wyrobów medycznych</w:t>
      </w:r>
    </w:p>
    <w:p w:rsidR="00DA6F97" w:rsidRPr="007D6CAA" w:rsidRDefault="00DA6F97" w:rsidP="00DA6F97">
      <w:pPr>
        <w:pStyle w:val="Nagwek"/>
        <w:tabs>
          <w:tab w:val="left" w:pos="2580"/>
          <w:tab w:val="center" w:pos="4422"/>
        </w:tabs>
        <w:spacing w:line="360" w:lineRule="auto"/>
        <w:jc w:val="both"/>
        <w:rPr>
          <w:rFonts w:ascii="Bookman Old Style" w:hAnsi="Bookman Old Style"/>
          <w:b/>
          <w:bCs/>
        </w:rPr>
      </w:pPr>
    </w:p>
    <w:p w:rsidR="00884DCC" w:rsidRPr="007D6CAA" w:rsidRDefault="00884DCC" w:rsidP="00DA6F97">
      <w:pPr>
        <w:pStyle w:val="Nagwek"/>
        <w:tabs>
          <w:tab w:val="left" w:pos="2580"/>
          <w:tab w:val="center" w:pos="4422"/>
        </w:tabs>
        <w:spacing w:line="360" w:lineRule="auto"/>
        <w:jc w:val="both"/>
        <w:rPr>
          <w:rFonts w:ascii="Bookman Old Style" w:hAnsi="Bookman Old Style"/>
          <w:bCs/>
        </w:rPr>
      </w:pPr>
    </w:p>
    <w:p w:rsidR="00EF4D90" w:rsidRPr="007D6CAA" w:rsidRDefault="00B56EB0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  <w:r w:rsidRPr="007D6CAA">
        <w:rPr>
          <w:rFonts w:ascii="Bookman Old Style" w:hAnsi="Bookman Old Style"/>
        </w:rPr>
        <w:tab/>
      </w:r>
      <w:r w:rsidR="00EF4D90" w:rsidRPr="007D6CAA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7D6CAA">
        <w:rPr>
          <w:rFonts w:ascii="Bookman Old Style" w:hAnsi="Bookman Old Style" w:cstheme="minorHAnsi"/>
        </w:rPr>
        <w:t>11 września 2019 r</w:t>
      </w:r>
      <w:r w:rsidR="00EF4D90" w:rsidRPr="007D6CAA">
        <w:rPr>
          <w:rFonts w:ascii="Bookman Old Style" w:hAnsi="Bookman Old Style"/>
        </w:rPr>
        <w:t xml:space="preserve">. </w:t>
      </w:r>
      <w:r w:rsidR="000450FE" w:rsidRPr="007D6CAA">
        <w:rPr>
          <w:rFonts w:ascii="Bookman Old Style" w:hAnsi="Bookman Old Style"/>
        </w:rPr>
        <w:t xml:space="preserve">(tj. Dz. U. z 2023 r. poz. 1605 ze zm.), </w:t>
      </w:r>
      <w:r w:rsidR="00EF4D90" w:rsidRPr="007D6CAA">
        <w:rPr>
          <w:rFonts w:ascii="Bookman Old Style" w:hAnsi="Bookman Old Style"/>
        </w:rPr>
        <w:t>Wielkopolskie Centrum Pulmonologii i Torakochirurgii SP ZOZ udziela wyjaśnień dotyczących Specyfikacji Warunków Zamówienia</w:t>
      </w:r>
      <w:r w:rsidR="00DA6F97" w:rsidRPr="007D6CAA">
        <w:rPr>
          <w:rFonts w:ascii="Bookman Old Style" w:hAnsi="Bookman Old Style"/>
        </w:rPr>
        <w:t>.</w:t>
      </w:r>
    </w:p>
    <w:p w:rsidR="0006717E" w:rsidRPr="007D6CAA" w:rsidRDefault="0006717E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</w:p>
    <w:p w:rsidR="00DA6F97" w:rsidRPr="007D6CAA" w:rsidRDefault="00DA6F97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</w:p>
    <w:p w:rsidR="0006717E" w:rsidRPr="007D6CAA" w:rsidRDefault="0006717E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</w:rPr>
      </w:pPr>
      <w:r w:rsidRPr="007D6CAA">
        <w:rPr>
          <w:rFonts w:ascii="Bookman Old Style" w:hAnsi="Bookman Old Style" w:cstheme="minorHAnsi"/>
          <w:b/>
          <w:color w:val="0070C0"/>
        </w:rPr>
        <w:t>Pytania i odpowiedzi:</w:t>
      </w:r>
    </w:p>
    <w:p w:rsidR="000E6116" w:rsidRPr="007D6CAA" w:rsidRDefault="000E6116" w:rsidP="00DA6F97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 w:cstheme="minorHAnsi"/>
          <w:b/>
          <w:color w:val="0070C0"/>
        </w:rPr>
        <w:t>ZESTAW I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</w:p>
    <w:p w:rsidR="000E6116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>Zwracamy się z prośba o dopuszczenie w pakiecie 8 - Igła półautomatyczna do biopsji gruboigłowej tkanek miękkich, tnąca. Wyposażona w mechanizm sprężynowy w uchwycie - pobrany materiał może być długości 10 mm lub 20 mm (+/-10%). Igła po załądowaniu może być obsługiwana jedną ręką. Mandryn posiada 20 mm (+/-10%) wcięcie na próbkę oraz potrójnie ostrzony wierzchołek, umożliwiającu łatwe wnikanie do tkanak włóknistych. Echogeniczny marker zwiększa widoczność igły w USG. Kaniula znakowana jest co centymetr, co ułatwia kontrolę głębokości wkłucia. Produkukt sterylny, jednorazowego użytku, pakowany pojedynczo, sterylizowany EO. Grubość 1,2 mm; 18 G; długości igły (+/-10%) 100 mm lub 150 mm wg potrzeb zamawiającego.</w:t>
      </w:r>
    </w:p>
    <w:p w:rsidR="000E6116" w:rsidRPr="007D6CAA" w:rsidRDefault="00884DC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lastRenderedPageBreak/>
        <w:t>Odp.</w:t>
      </w:r>
    </w:p>
    <w:p w:rsidR="00884DCC" w:rsidRPr="007D6CAA" w:rsidRDefault="00884DC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 xml:space="preserve">Zamawiający pozostawia zapisy </w:t>
      </w:r>
      <w:r w:rsidR="008C155C" w:rsidRPr="007D6CAA">
        <w:rPr>
          <w:rFonts w:ascii="Bookman Old Style" w:hAnsi="Bookman Old Style"/>
          <w:color w:val="0070C0"/>
        </w:rPr>
        <w:t>SWZ bez zmian.</w:t>
      </w:r>
    </w:p>
    <w:p w:rsidR="00884DCC" w:rsidRPr="007D6CAA" w:rsidRDefault="00884DCC" w:rsidP="00DA6F97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color w:val="0070C0"/>
        </w:rPr>
      </w:pPr>
    </w:p>
    <w:p w:rsidR="000E6116" w:rsidRPr="007D6CAA" w:rsidRDefault="000E6116" w:rsidP="00DA6F97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b/>
          <w:color w:val="0070C0"/>
        </w:rPr>
        <w:t>ZESTAW II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 xml:space="preserve">PAKIET 1, poz. 1 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 xml:space="preserve">Czy Zamawiający dopuści płytkę o zakresie docięcia 13mm – 80mm? 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 xml:space="preserve">PAKIET 1, poz. 2 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 xml:space="preserve">Czy Zamawiający dopuści płytkę o zakresie docięcia 13mm – 80mm, o pojemności +/- 555 ml? 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 xml:space="preserve">PAKIET 1, poz. 4 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>Czy Zamawiający dopuści worek o pojemności +/- 555 ml?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</w:rPr>
        <w:t xml:space="preserve"> </w:t>
      </w: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 xml:space="preserve">PAKIET 1, poz. 5 </w:t>
      </w:r>
    </w:p>
    <w:p w:rsidR="00884DC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</w:rPr>
        <w:t>Czy Zamawiający dopuści płytkę o zakresie docięcia 13mm – 50mm?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0E6116" w:rsidRPr="007D6CAA" w:rsidRDefault="000E6116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605E7E" w:rsidRPr="007D6CAA" w:rsidRDefault="00605E7E" w:rsidP="00DA6F97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7D6CAA">
        <w:rPr>
          <w:rFonts w:ascii="Bookman Old Style" w:hAnsi="Bookman Old Style"/>
          <w:b/>
          <w:color w:val="0070C0"/>
        </w:rPr>
        <w:t>ZESTAW III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 xml:space="preserve">Pakiet 3, Pozycja 1 </w:t>
      </w:r>
      <w:bookmarkStart w:id="0" w:name="_GoBack"/>
      <w:bookmarkEnd w:id="0"/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lastRenderedPageBreak/>
        <w:t>Czy Zamawiający dopuści cewniki o twardości 78 ShA, z nieprzeźroczystym konektorem, bez oznaczenia rozmiaru poniżej konektora?</w:t>
      </w:r>
    </w:p>
    <w:p w:rsidR="008C155C" w:rsidRPr="007D6CAA" w:rsidRDefault="008C155C" w:rsidP="00DA6F97">
      <w:pPr>
        <w:widowControl w:val="0"/>
        <w:spacing w:after="0" w:line="360" w:lineRule="auto"/>
        <w:ind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 xml:space="preserve">Pakiet 3, Pozycja 2-3 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cewniki bez oznaczenia rozmiaru poniżej konektora?</w:t>
      </w:r>
    </w:p>
    <w:p w:rsidR="008C155C" w:rsidRPr="007D6CAA" w:rsidRDefault="008C155C" w:rsidP="00DA6F97">
      <w:pPr>
        <w:widowControl w:val="0"/>
        <w:spacing w:after="0" w:line="360" w:lineRule="auto"/>
        <w:ind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DA6F97" w:rsidRPr="007D6CAA" w:rsidRDefault="00DA6F97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 xml:space="preserve">Pakiet 3, Pozycja 4 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cewniki w rozmiarze CH10 z balonem 3-5ml, spełniające pozostałe wymagania swz?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>Pakiet 3, Pozycja 5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cewniki z balonem 5-10ml, spełniające pozostałe wymagania swz?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 xml:space="preserve">Pakiet 3, Pozycja 6 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 xml:space="preserve">Czy Zamawiający dopuści zamknięty system do pomiaru diurezy i zbiórki moczu z workiem do zbiórki moczu o pojemności 2000 ml, komorą zbiorczą 500 ml umożliwiającą bardzo dokładne pomiary diurezy (liniowo co 1ml od 3ml do 40ml, co 5 ml od 40 do 100 ml, co 10 ml od 100 do 500 ml). Wyposażony w 2 filtry hydrofobowe oraz 2 bezzwrotne zastawki – w worku oraz w łączniku do cewnika Foley’a. Dwuświatłowy dren o długości 120 cm z klamrą zaciskową, zakończony bezigłowym portem do pobierania próbek i bezpiecznym łącznikiem do cewnika. </w:t>
      </w:r>
      <w:r w:rsidRPr="007D6CAA">
        <w:rPr>
          <w:rFonts w:ascii="Bookman Old Style" w:hAnsi="Bookman Old Style"/>
          <w:color w:val="000000" w:themeColor="text1"/>
        </w:rPr>
        <w:lastRenderedPageBreak/>
        <w:t>Umocowanie na łóżku pacjenta za pomocą składanych wieszaków lub pasków mocujących?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DA6F97" w:rsidRPr="007D6CAA" w:rsidRDefault="00DA6F97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>Pakiet 3, Pozycja 7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worek wyłącznie z portem bezigłowym?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DA6F97" w:rsidRPr="007D6CAA" w:rsidRDefault="00DA6F97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>Pakiet 3, Pozycja 8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worek do dobowej zbiórki?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 xml:space="preserve">Pakiet 3, Pozycja 9 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wieszak: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noProof/>
          <w:color w:val="000000" w:themeColor="text1"/>
        </w:rPr>
        <w:drawing>
          <wp:inline distT="0" distB="0" distL="0" distR="0" wp14:anchorId="424B25AD" wp14:editId="57F1348A">
            <wp:extent cx="1371600" cy="1272798"/>
            <wp:effectExtent l="0" t="0" r="0" b="3810"/>
            <wp:docPr id="1056489154" name="Obraz 1" descr="Obraz zawierający niebiesk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89154" name="Obraz 1" descr="Obraz zawierający niebieskie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5297" cy="127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CAA">
        <w:rPr>
          <w:rFonts w:ascii="Bookman Old Style" w:hAnsi="Bookman Old Style"/>
          <w:color w:val="000000" w:themeColor="text1"/>
        </w:rPr>
        <w:t>?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8C155C" w:rsidRPr="007D6CAA" w:rsidRDefault="008C155C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  <w:r w:rsidR="00900E4A" w:rsidRPr="007D6CAA">
        <w:rPr>
          <w:rFonts w:ascii="Bookman Old Style" w:hAnsi="Bookman Old Style"/>
          <w:color w:val="0070C0"/>
        </w:rPr>
        <w:t xml:space="preserve"> </w:t>
      </w:r>
    </w:p>
    <w:p w:rsidR="00DA6F97" w:rsidRPr="007D6CAA" w:rsidRDefault="00DA6F97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 xml:space="preserve">Pakiet 3, Pozycja 11 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zgłębnik o długości 105cm?</w:t>
      </w:r>
    </w:p>
    <w:p w:rsidR="00900E4A" w:rsidRPr="007D6CAA" w:rsidRDefault="00900E4A" w:rsidP="007D6CAA">
      <w:pPr>
        <w:widowControl w:val="0"/>
        <w:spacing w:after="0" w:line="360" w:lineRule="auto"/>
        <w:ind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DA6F97" w:rsidRPr="007D6CAA" w:rsidRDefault="00900E4A" w:rsidP="00DA6F97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DA6F97" w:rsidRPr="007D6CAA" w:rsidRDefault="00DA6F97" w:rsidP="00DA6F97">
      <w:pPr>
        <w:spacing w:after="0" w:line="360" w:lineRule="auto"/>
        <w:jc w:val="both"/>
        <w:rPr>
          <w:rFonts w:ascii="Bookman Old Style" w:hAnsi="Bookman Old Style"/>
          <w:color w:val="0070C0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 xml:space="preserve">Pakiet 4, Pozycja 1 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lastRenderedPageBreak/>
        <w:t>Czy Zamawiający dopuści nebulizator o pojemności 6 ml (skalowany co 1 ml), wytwarzający cząsteczki o średniej wielkości MMAD = 3,91 μm przy przepływie 6 l/min?</w:t>
      </w:r>
    </w:p>
    <w:p w:rsidR="007D6CAA" w:rsidRPr="007D6CAA" w:rsidRDefault="007D6CAA" w:rsidP="007D6CAA">
      <w:pPr>
        <w:widowControl w:val="0"/>
        <w:spacing w:after="0" w:line="360" w:lineRule="auto"/>
        <w:ind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7D6CAA" w:rsidRPr="007D6CAA" w:rsidRDefault="007D6CAA" w:rsidP="007D6CAA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>Pakiet 5, Pozycja 3, 5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maskę z nebulizatorem o pojemności 8 ml (skalowany co 1 ml)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▪ Średnia wielkość wytwarzanej cząsteczki przyprzepływie 6 l/min – 3,23 μm</w:t>
      </w:r>
    </w:p>
    <w:p w:rsidR="00900E4A" w:rsidRPr="007D6CAA" w:rsidRDefault="00900E4A" w:rsidP="007D6CAA">
      <w:pPr>
        <w:widowControl w:val="0"/>
        <w:spacing w:after="0" w:line="360" w:lineRule="auto"/>
        <w:ind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900E4A" w:rsidRPr="007D6CAA" w:rsidRDefault="00900E4A" w:rsidP="00DA6F97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>Pakiet 6, Pozycja 1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pojemnik 0,7l o wysokości 120mm, Owal 100/95, i otworem wrzutowym 40mm?</w:t>
      </w:r>
    </w:p>
    <w:p w:rsidR="00900E4A" w:rsidRPr="007D6CAA" w:rsidRDefault="00900E4A" w:rsidP="007D6CAA">
      <w:pPr>
        <w:widowControl w:val="0"/>
        <w:spacing w:after="0" w:line="360" w:lineRule="auto"/>
        <w:ind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900E4A" w:rsidRPr="007D6CAA" w:rsidRDefault="00900E4A" w:rsidP="00DA6F97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b/>
          <w:color w:val="000000" w:themeColor="text1"/>
        </w:rPr>
        <w:t xml:space="preserve">Pakiet 6, Pozycja 2 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Czy Zamawiający dopuści pojemnik 1,0 l o wysokości 120mm, ŚREDNICA GÓRNA /</w:t>
      </w:r>
    </w:p>
    <w:p w:rsidR="008C155C" w:rsidRPr="007D6CAA" w:rsidRDefault="008C155C" w:rsidP="00DA6F97">
      <w:p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7D6CAA">
        <w:rPr>
          <w:rFonts w:ascii="Bookman Old Style" w:hAnsi="Bookman Old Style"/>
          <w:color w:val="000000" w:themeColor="text1"/>
        </w:rPr>
        <w:t>DOLNA (MM): 120/110 i otworze wrzutowym 90mm?</w:t>
      </w:r>
    </w:p>
    <w:p w:rsidR="00900E4A" w:rsidRPr="007D6CAA" w:rsidRDefault="00900E4A" w:rsidP="007D6CAA">
      <w:pPr>
        <w:widowControl w:val="0"/>
        <w:spacing w:after="0" w:line="360" w:lineRule="auto"/>
        <w:ind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900E4A" w:rsidRPr="007D6CAA" w:rsidRDefault="00900E4A" w:rsidP="00DA6F97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094D73" w:rsidRPr="007D6CAA" w:rsidRDefault="00094D73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605E7E" w:rsidRPr="007D6CAA" w:rsidRDefault="00605E7E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605E7E" w:rsidRPr="007D6CAA" w:rsidRDefault="00605E7E" w:rsidP="00DA6F97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7D6CAA">
        <w:rPr>
          <w:rFonts w:ascii="Bookman Old Style" w:hAnsi="Bookman Old Style"/>
          <w:b/>
          <w:color w:val="0070C0"/>
        </w:rPr>
        <w:t>ZESTAW I</w:t>
      </w:r>
      <w:r w:rsidR="002B0E6C" w:rsidRPr="007D6CAA">
        <w:rPr>
          <w:rFonts w:ascii="Bookman Old Style" w:hAnsi="Bookman Old Style"/>
          <w:b/>
          <w:color w:val="0070C0"/>
        </w:rPr>
        <w:t>V</w:t>
      </w:r>
    </w:p>
    <w:p w:rsidR="00DA6F97" w:rsidRPr="007D6CAA" w:rsidRDefault="00DA6F97" w:rsidP="00DA6F97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7D6CAA">
        <w:rPr>
          <w:rFonts w:ascii="Bookman Old Style" w:hAnsi="Bookman Old Style" w:cstheme="minorHAnsi"/>
        </w:rPr>
        <w:t>Pakiet 3, poz. 5-9</w:t>
      </w:r>
    </w:p>
    <w:p w:rsidR="00DA6F97" w:rsidRPr="007D6CAA" w:rsidRDefault="00DA6F97" w:rsidP="00DA6F97">
      <w:pPr>
        <w:spacing w:after="0" w:line="360" w:lineRule="auto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  <w:lang w:eastAsia="pl-PL"/>
        </w:rPr>
        <w:t xml:space="preserve">Czy zamawiający wydzieli poz.5-9 </w:t>
      </w:r>
      <w:r w:rsidRPr="007D6CAA">
        <w:rPr>
          <w:rFonts w:ascii="Bookman Old Style" w:hAnsi="Bookman Old Style"/>
        </w:rPr>
        <w:t xml:space="preserve">do osobnego pakietu, takie rozwiązanie pozwoli na złożenie konkurencyjnej oferty. </w:t>
      </w:r>
      <w:r w:rsidRPr="007D6CAA">
        <w:rPr>
          <w:rFonts w:ascii="Bookman Old Style" w:hAnsi="Bookman Old Style" w:cs="Arial"/>
        </w:rPr>
        <w:t xml:space="preserve">Racjonalne wydatkowanie publicznych pieniędzy jest dla Zamawiającego priorytetem, a podział pakietu to umożliwia.  Złożenie ofert </w:t>
      </w:r>
      <w:r w:rsidRPr="007D6CAA">
        <w:rPr>
          <w:rFonts w:ascii="Bookman Old Style" w:hAnsi="Bookman Old Style" w:cs="Arial"/>
        </w:rPr>
        <w:lastRenderedPageBreak/>
        <w:t>przez różne firmy pozwoli Zamawiającemu na dokonanie wyboru oferty zgodnej z zapisami SIWZ oraz zasadami uczciwej konkurencji w myśl ustawy PZP, gdyż większa liczba oferentów stwarza większe możliwości wyboru.</w:t>
      </w:r>
    </w:p>
    <w:p w:rsidR="00472BAE" w:rsidRPr="007D6CAA" w:rsidRDefault="00472BAE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472BAE" w:rsidRPr="007D6CAA" w:rsidRDefault="00472BAE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 xml:space="preserve">Zamawiający </w:t>
      </w:r>
      <w:r w:rsidR="00DA6F97" w:rsidRPr="007D6CAA">
        <w:rPr>
          <w:rFonts w:ascii="Bookman Old Style" w:hAnsi="Bookman Old Style"/>
          <w:color w:val="0070C0"/>
        </w:rPr>
        <w:t>nie wydziela poz.5-9 do osobnego pakietu</w:t>
      </w:r>
      <w:r w:rsidR="007D6CAA" w:rsidRPr="007D6CAA">
        <w:rPr>
          <w:rFonts w:ascii="Bookman Old Style" w:hAnsi="Bookman Old Style"/>
          <w:color w:val="0070C0"/>
        </w:rPr>
        <w:t>.</w:t>
      </w:r>
    </w:p>
    <w:p w:rsidR="00E00726" w:rsidRPr="007D6CAA" w:rsidRDefault="00E00726" w:rsidP="00DA6F97">
      <w:pPr>
        <w:spacing w:after="0" w:line="360" w:lineRule="auto"/>
        <w:ind w:left="720"/>
        <w:jc w:val="both"/>
        <w:rPr>
          <w:rFonts w:ascii="Bookman Old Style" w:eastAsia="Times New Roman" w:hAnsi="Bookman Old Style"/>
          <w:lang w:eastAsia="pl-PL"/>
        </w:rPr>
      </w:pPr>
    </w:p>
    <w:p w:rsidR="002B0E6C" w:rsidRPr="007D6CAA" w:rsidRDefault="002F2500" w:rsidP="00DA6F97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7D6CAA">
        <w:rPr>
          <w:rFonts w:ascii="Bookman Old Style" w:hAnsi="Bookman Old Style"/>
          <w:b/>
          <w:color w:val="0070C0"/>
        </w:rPr>
        <w:t>Z</w:t>
      </w:r>
      <w:r w:rsidR="002B0E6C" w:rsidRPr="007D6CAA">
        <w:rPr>
          <w:rFonts w:ascii="Bookman Old Style" w:hAnsi="Bookman Old Style"/>
          <w:b/>
          <w:color w:val="0070C0"/>
        </w:rPr>
        <w:t>ESTAW V</w:t>
      </w:r>
    </w:p>
    <w:p w:rsidR="00472BAE" w:rsidRPr="007D6CAA" w:rsidRDefault="007D6CAA" w:rsidP="00DA6F9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color w:val="0070C0"/>
        </w:rPr>
      </w:pPr>
      <w:r w:rsidRPr="007D6CAA">
        <w:rPr>
          <w:rFonts w:ascii="Bookman Old Style" w:hAnsi="Bookman Old Style" w:cs="Verdana"/>
          <w:lang w:eastAsia="pl-PL"/>
        </w:rPr>
        <w:t>C</w:t>
      </w:r>
      <w:r w:rsidR="00DA6F97" w:rsidRPr="007D6CAA">
        <w:rPr>
          <w:rFonts w:ascii="Bookman Old Style" w:hAnsi="Bookman Old Style" w:cs="Verdana"/>
          <w:lang w:eastAsia="pl-PL"/>
        </w:rPr>
        <w:t>zy w zadaniu 8 Zamawiający dopuści igły grubość 1,2 mm; 18 G; długość igły 100 mm lub 160 mm wg potrzeb</w:t>
      </w:r>
      <w:r w:rsidR="00DA6F97" w:rsidRPr="007D6CAA">
        <w:rPr>
          <w:rFonts w:ascii="Bookman Old Style" w:hAnsi="Bookman Old Style" w:cs="Verdana"/>
          <w:lang w:eastAsia="pl-PL"/>
        </w:rPr>
        <w:t xml:space="preserve"> </w:t>
      </w:r>
      <w:r w:rsidR="00DA6F97" w:rsidRPr="007D6CAA">
        <w:rPr>
          <w:rFonts w:ascii="Bookman Old Style" w:hAnsi="Bookman Old Style" w:cs="Verdana"/>
          <w:lang w:eastAsia="pl-PL"/>
        </w:rPr>
        <w:t>Zamawiającego</w:t>
      </w:r>
    </w:p>
    <w:p w:rsidR="007D6CAA" w:rsidRPr="007D6CAA" w:rsidRDefault="007D6CAA" w:rsidP="007D6CAA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Odp.</w:t>
      </w:r>
    </w:p>
    <w:p w:rsidR="007D6CAA" w:rsidRPr="007D6CAA" w:rsidRDefault="007D6CAA" w:rsidP="007D6CAA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7D6CAA">
        <w:rPr>
          <w:rFonts w:ascii="Bookman Old Style" w:hAnsi="Bookman Old Style"/>
          <w:color w:val="0070C0"/>
        </w:rPr>
        <w:t>Zamawiający pozostawia zapisy SWZ bez zmian.</w:t>
      </w:r>
    </w:p>
    <w:p w:rsidR="00DA6F97" w:rsidRPr="007D6CAA" w:rsidRDefault="00DA6F97" w:rsidP="007D6CAA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sectPr w:rsidR="00DA6F97" w:rsidRPr="007D6CAA" w:rsidSect="00141510">
      <w:headerReference w:type="default" r:id="rId10"/>
      <w:footerReference w:type="default" r:id="rId11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5C" w:rsidRDefault="008C155C" w:rsidP="00F92ECB">
      <w:pPr>
        <w:spacing w:after="0" w:line="240" w:lineRule="auto"/>
      </w:pPr>
      <w:r>
        <w:separator/>
      </w:r>
    </w:p>
  </w:endnote>
  <w:endnote w:type="continuationSeparator" w:id="0">
    <w:p w:rsidR="008C155C" w:rsidRDefault="008C15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5C" w:rsidRDefault="008C155C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D6CAA">
      <w:rPr>
        <w:noProof/>
      </w:rPr>
      <w:t>6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38307C" wp14:editId="58A8F6D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5C" w:rsidRDefault="008C155C" w:rsidP="00F92ECB">
      <w:pPr>
        <w:spacing w:after="0" w:line="240" w:lineRule="auto"/>
      </w:pPr>
      <w:r>
        <w:separator/>
      </w:r>
    </w:p>
  </w:footnote>
  <w:footnote w:type="continuationSeparator" w:id="0">
    <w:p w:rsidR="008C155C" w:rsidRDefault="008C15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5C" w:rsidRDefault="008C15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7B9F1E" wp14:editId="11941D6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D3FDF"/>
    <w:multiLevelType w:val="hybridMultilevel"/>
    <w:tmpl w:val="1E12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011"/>
    <w:multiLevelType w:val="multilevel"/>
    <w:tmpl w:val="D2246BB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0547E"/>
    <w:multiLevelType w:val="hybridMultilevel"/>
    <w:tmpl w:val="1BD06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E273D"/>
    <w:multiLevelType w:val="multilevel"/>
    <w:tmpl w:val="33409C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D1243E"/>
    <w:multiLevelType w:val="multilevel"/>
    <w:tmpl w:val="468A8B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46477"/>
    <w:multiLevelType w:val="hybridMultilevel"/>
    <w:tmpl w:val="83F82000"/>
    <w:lvl w:ilvl="0" w:tplc="E56294F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74871"/>
    <w:multiLevelType w:val="multilevel"/>
    <w:tmpl w:val="B290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3B5E95"/>
    <w:multiLevelType w:val="hybridMultilevel"/>
    <w:tmpl w:val="9236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887741"/>
    <w:multiLevelType w:val="multilevel"/>
    <w:tmpl w:val="9AAC20D2"/>
    <w:lvl w:ilvl="0">
      <w:start w:val="1"/>
      <w:numFmt w:val="decimal"/>
      <w:suff w:val="nothing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9373E"/>
    <w:multiLevelType w:val="hybridMultilevel"/>
    <w:tmpl w:val="E10C4CB4"/>
    <w:lvl w:ilvl="0" w:tplc="0038A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C3D51"/>
    <w:multiLevelType w:val="hybridMultilevel"/>
    <w:tmpl w:val="FB4C2B16"/>
    <w:lvl w:ilvl="0" w:tplc="5C44FCE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87631E"/>
    <w:multiLevelType w:val="hybridMultilevel"/>
    <w:tmpl w:val="2A4E4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9"/>
  </w:num>
  <w:num w:numId="3">
    <w:abstractNumId w:val="27"/>
  </w:num>
  <w:num w:numId="4">
    <w:abstractNumId w:val="27"/>
  </w:num>
  <w:num w:numId="5">
    <w:abstractNumId w:val="5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5"/>
  </w:num>
  <w:num w:numId="10">
    <w:abstractNumId w:val="32"/>
  </w:num>
  <w:num w:numId="11">
    <w:abstractNumId w:val="36"/>
  </w:num>
  <w:num w:numId="12">
    <w:abstractNumId w:val="31"/>
  </w:num>
  <w:num w:numId="13">
    <w:abstractNumId w:val="7"/>
  </w:num>
  <w:num w:numId="14">
    <w:abstractNumId w:val="6"/>
  </w:num>
  <w:num w:numId="15">
    <w:abstractNumId w:val="38"/>
  </w:num>
  <w:num w:numId="16">
    <w:abstractNumId w:val="11"/>
  </w:num>
  <w:num w:numId="17">
    <w:abstractNumId w:val="35"/>
  </w:num>
  <w:num w:numId="18">
    <w:abstractNumId w:val="24"/>
  </w:num>
  <w:num w:numId="19">
    <w:abstractNumId w:val="28"/>
  </w:num>
  <w:num w:numId="20">
    <w:abstractNumId w:val="18"/>
  </w:num>
  <w:num w:numId="21">
    <w:abstractNumId w:val="22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3"/>
  </w:num>
  <w:num w:numId="33">
    <w:abstractNumId w:val="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450FE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17E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4D73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6116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1510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4624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E6C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2500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306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48D9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00F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BAE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B0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0DA8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2BA7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5E7E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1B07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6EB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CAA"/>
    <w:rsid w:val="007D6D04"/>
    <w:rsid w:val="007E1934"/>
    <w:rsid w:val="007E1EB9"/>
    <w:rsid w:val="007F05F8"/>
    <w:rsid w:val="007F0D10"/>
    <w:rsid w:val="007F30C3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84DCC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55C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459"/>
    <w:rsid w:val="008F39CA"/>
    <w:rsid w:val="008F666E"/>
    <w:rsid w:val="008F6829"/>
    <w:rsid w:val="0090023C"/>
    <w:rsid w:val="00900281"/>
    <w:rsid w:val="00900E4A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6F97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0726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0E76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930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5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35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5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35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2BA2-E407-4970-9E7D-DAA994E0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6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2022-04-04T11:21:00Z</cp:lastPrinted>
  <dcterms:created xsi:type="dcterms:W3CDTF">2024-09-17T11:31:00Z</dcterms:created>
  <dcterms:modified xsi:type="dcterms:W3CDTF">2024-09-17T11:31:00Z</dcterms:modified>
</cp:coreProperties>
</file>