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54263E">
        <w:rPr>
          <w:rFonts w:asciiTheme="minorHAnsi" w:hAnsiTheme="minorHAnsi" w:cstheme="minorHAnsi"/>
          <w:b/>
          <w:color w:val="auto"/>
          <w:sz w:val="20"/>
          <w:szCs w:val="20"/>
        </w:rPr>
        <w:t>monitora do zaawansowanych pomiarów hemodynamicznych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870FF4" w:rsidRDefault="00F041F4" w:rsidP="004E7E62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0FF4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870FF4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870FF4">
        <w:rPr>
          <w:rFonts w:asciiTheme="minorHAnsi" w:hAnsiTheme="minorHAnsi" w:cstheme="minorHAnsi"/>
          <w:sz w:val="20"/>
          <w:szCs w:val="20"/>
        </w:rPr>
        <w:br/>
      </w:r>
      <w:r w:rsidR="00F3786E" w:rsidRPr="00870FF4">
        <w:rPr>
          <w:rFonts w:asciiTheme="minorHAnsi" w:hAnsiTheme="minorHAnsi" w:cstheme="minorHAnsi"/>
          <w:sz w:val="20"/>
          <w:szCs w:val="20"/>
        </w:rPr>
        <w:t>z przeznaczeniem na 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sprz</w:t>
      </w:r>
      <w:r w:rsidR="004E7E62" w:rsidRPr="004E7E62">
        <w:rPr>
          <w:rFonts w:asciiTheme="minorHAnsi" w:hAnsiTheme="minorHAnsi" w:cstheme="minorHAnsi" w:hint="cs"/>
          <w:b/>
          <w:color w:val="auto"/>
          <w:sz w:val="20"/>
          <w:szCs w:val="20"/>
        </w:rPr>
        <w:t>ę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tu medycznego</w:t>
      </w:r>
      <w:r w:rsidR="00F3786E" w:rsidRPr="00870FF4">
        <w:rPr>
          <w:rFonts w:asciiTheme="minorHAnsi" w:hAnsiTheme="minorHAnsi" w:cstheme="minorHAnsi"/>
          <w:sz w:val="20"/>
          <w:szCs w:val="20"/>
        </w:rPr>
        <w:t>”</w:t>
      </w:r>
      <w:r w:rsidR="00C25523" w:rsidRPr="00870FF4">
        <w:rPr>
          <w:rFonts w:asciiTheme="minorHAnsi" w:hAnsiTheme="minorHAnsi" w:cstheme="minorHAnsi"/>
          <w:sz w:val="20"/>
          <w:szCs w:val="20"/>
        </w:rPr>
        <w:t xml:space="preserve"> w ramach umowy nr </w:t>
      </w:r>
      <w:r w:rsidR="00E8732C">
        <w:rPr>
          <w:rFonts w:asciiTheme="minorHAnsi" w:hAnsiTheme="minorHAnsi" w:cstheme="minorHAnsi"/>
          <w:sz w:val="20"/>
          <w:szCs w:val="20"/>
        </w:rPr>
        <w:t>DZ-IV-A/15/W/2024</w:t>
      </w:r>
      <w:r w:rsidR="00F84269">
        <w:rPr>
          <w:rFonts w:asciiTheme="minorHAnsi" w:hAnsiTheme="minorHAnsi" w:cstheme="minorHAns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870FF4">
        <w:rPr>
          <w:rFonts w:asciiTheme="minorHAnsi" w:hAnsiTheme="minorHAnsi" w:cstheme="minorHAnsi"/>
          <w:sz w:val="20"/>
          <w:szCs w:val="20"/>
        </w:rPr>
        <w:t>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2E697A" w:rsidRDefault="0026376C" w:rsidP="0054263E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54263E" w:rsidRPr="0054263E">
        <w:rPr>
          <w:rFonts w:asciiTheme="minorHAnsi" w:hAnsiTheme="minorHAnsi" w:cstheme="minorHAnsi"/>
          <w:b/>
          <w:color w:val="auto"/>
          <w:sz w:val="20"/>
          <w:szCs w:val="20"/>
        </w:rPr>
        <w:t>monitora do zaawansowanych pomiar</w:t>
      </w:r>
      <w:r w:rsidR="0054263E" w:rsidRPr="0054263E">
        <w:rPr>
          <w:rFonts w:asciiTheme="minorHAnsi" w:hAnsiTheme="minorHAnsi" w:cstheme="minorHAnsi" w:hint="cs"/>
          <w:b/>
          <w:color w:val="auto"/>
          <w:sz w:val="20"/>
          <w:szCs w:val="20"/>
        </w:rPr>
        <w:t>ó</w:t>
      </w:r>
      <w:r w:rsidR="0054263E" w:rsidRPr="0054263E">
        <w:rPr>
          <w:rFonts w:asciiTheme="minorHAnsi" w:hAnsiTheme="minorHAnsi" w:cstheme="minorHAnsi"/>
          <w:b/>
          <w:color w:val="auto"/>
          <w:sz w:val="20"/>
          <w:szCs w:val="20"/>
        </w:rPr>
        <w:t>w hemodynamicznych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p w:rsidR="0071176E" w:rsidRPr="00D071B6" w:rsidRDefault="00AD7592" w:rsidP="0054263E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Zamawiaj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 nie dopuszcza mo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liwo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sk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ciowych.</w:t>
      </w:r>
    </w:p>
    <w:p w:rsidR="007D0E92" w:rsidRPr="007D0E92" w:rsidRDefault="007D0E92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Pow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d braku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u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ci:</w:t>
      </w:r>
    </w:p>
    <w:p w:rsidR="00684CF3" w:rsidRDefault="007D0E92" w:rsidP="007D0E92">
      <w:pPr>
        <w:ind w:left="64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D0E92">
        <w:rPr>
          <w:rFonts w:asciiTheme="minorHAnsi" w:hAnsiTheme="minorHAnsi" w:cstheme="minorHAnsi"/>
          <w:iCs/>
          <w:sz w:val="20"/>
          <w:szCs w:val="20"/>
        </w:rPr>
        <w:t>Przedmiot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 na cz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powodowa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ś</w:t>
      </w:r>
      <w:r w:rsidRPr="007D0E92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wienia, a tak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7D0E92">
        <w:rPr>
          <w:rFonts w:asciiTheme="minorHAnsi" w:hAnsiTheme="minorHAnsi" w:cstheme="minorHAnsi"/>
          <w:iCs/>
          <w:sz w:val="20"/>
          <w:szCs w:val="20"/>
        </w:rPr>
        <w:t>e potrzeb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ę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skoordynowania dzia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7D0E92">
        <w:rPr>
          <w:rFonts w:asciiTheme="minorHAnsi" w:hAnsiTheme="minorHAnsi" w:cstheme="minorHAnsi"/>
          <w:iCs/>
          <w:sz w:val="20"/>
          <w:szCs w:val="20"/>
        </w:rPr>
        <w:t>a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ń</w:t>
      </w:r>
      <w:r w:rsidRPr="007D0E92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óż</w:t>
      </w:r>
      <w:r w:rsidRPr="007D0E92">
        <w:rPr>
          <w:rFonts w:asciiTheme="minorHAnsi" w:hAnsiTheme="minorHAnsi" w:cstheme="minorHAnsi"/>
          <w:iCs/>
          <w:sz w:val="20"/>
          <w:szCs w:val="20"/>
        </w:rPr>
        <w:t>nych wykonawc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 realizuj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7D0E92">
        <w:rPr>
          <w:rFonts w:asciiTheme="minorHAnsi" w:hAnsiTheme="minorHAnsi" w:cstheme="minorHAnsi"/>
          <w:iCs/>
          <w:sz w:val="20"/>
          <w:szCs w:val="20"/>
        </w:rPr>
        <w:t>cych zam</w:t>
      </w:r>
      <w:r w:rsidRPr="007D0E92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7D0E92">
        <w:rPr>
          <w:rFonts w:asciiTheme="minorHAnsi" w:hAnsiTheme="minorHAnsi" w:cstheme="minorHAnsi"/>
          <w:iCs/>
          <w:sz w:val="20"/>
          <w:szCs w:val="20"/>
        </w:rPr>
        <w:t>wienie.</w:t>
      </w:r>
    </w:p>
    <w:p w:rsidR="00D37190" w:rsidRPr="007D0E92" w:rsidRDefault="0026376C" w:rsidP="007D0E9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F6000A" w:rsidRPr="007242FE" w:rsidRDefault="00C359A0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33123000-8 Urządzenie do diagnostyki sercowo-naczyniowej</w:t>
      </w:r>
    </w:p>
    <w:p w:rsidR="00733D64" w:rsidRPr="004E7E62" w:rsidRDefault="00733D64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3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4"/>
    </w:p>
    <w:p w:rsidR="000E38EC" w:rsidRPr="0095523B" w:rsidRDefault="0024510E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highlight w:val="yellow"/>
        </w:rPr>
        <w:t>14</w:t>
      </w:r>
      <w:r w:rsidR="007401C1" w:rsidRPr="0054263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dni</w:t>
      </w:r>
      <w:r w:rsidR="00CD60F3" w:rsidRPr="0054263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907C2C" w:rsidRPr="0054263E">
        <w:rPr>
          <w:rFonts w:asciiTheme="minorHAnsi" w:hAnsiTheme="minorHAnsi" w:cstheme="minorHAnsi"/>
          <w:b/>
          <w:sz w:val="20"/>
          <w:szCs w:val="20"/>
          <w:highlight w:val="yellow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5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5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przeciwko obrotowi gospodarczemu, o których mowa w art. 296-307 Kodeksu karnego, przestępstwo oszustwa, o którym mowa w art. 286 Kodeksu karnego, przestępstwo przeciwko wiarygodności </w:t>
      </w:r>
      <w:r w:rsidRPr="009662BB">
        <w:rPr>
          <w:rFonts w:asciiTheme="minorHAnsi" w:hAnsiTheme="minorHAnsi" w:cstheme="minorHAnsi"/>
          <w:sz w:val="20"/>
          <w:szCs w:val="20"/>
        </w:rPr>
        <w:lastRenderedPageBreak/>
        <w:t>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6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6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8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9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32453" w:rsidRPr="0095523B" w:rsidRDefault="00532453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790097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0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0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1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2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2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6A157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09</w:t>
      </w:r>
      <w:r w:rsidR="0085518C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.11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3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i ogólnodostępnych baz danych, o ile wykonawca </w:t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lastRenderedPageBreak/>
        <w:t>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4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6A157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11</w:t>
      </w:r>
      <w:r w:rsidR="00910301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.10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5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7D0E92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6A157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11</w:t>
      </w:r>
      <w:r w:rsidR="00910301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.10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6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bookmarkStart w:id="18" w:name="_GoBack"/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  <w:bookmarkEnd w:id="18"/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lastRenderedPageBreak/>
        <w:t>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BF09B6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03</w:t>
      </w:r>
      <w:r w:rsidR="0054263E">
        <w:rPr>
          <w:rFonts w:asciiTheme="minorHAnsi" w:hAnsiTheme="minorHAnsi" w:cstheme="minorHAnsi"/>
          <w:color w:val="auto"/>
          <w:sz w:val="20"/>
          <w:szCs w:val="20"/>
        </w:rPr>
        <w:t>.10</w:t>
      </w:r>
      <w:r w:rsidR="00BA74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002FE" w:rsidRPr="006A7EA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97" w:rsidRDefault="00790097">
      <w:r>
        <w:separator/>
      </w:r>
    </w:p>
    <w:p w:rsidR="00790097" w:rsidRDefault="00790097"/>
  </w:endnote>
  <w:endnote w:type="continuationSeparator" w:id="0">
    <w:p w:rsidR="00790097" w:rsidRDefault="00790097">
      <w:r>
        <w:continuationSeparator/>
      </w:r>
    </w:p>
    <w:p w:rsidR="00790097" w:rsidRDefault="00790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EC4F6D">
      <w:rPr>
        <w:rFonts w:ascii="Times New Roman" w:hAnsi="Times New Roman"/>
        <w:b/>
        <w:noProof/>
        <w:sz w:val="14"/>
        <w:szCs w:val="14"/>
      </w:rPr>
      <w:t>8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EC4F6D">
      <w:rPr>
        <w:rFonts w:ascii="Times New Roman" w:hAnsi="Times New Roman"/>
        <w:noProof/>
        <w:sz w:val="14"/>
        <w:szCs w:val="14"/>
      </w:rPr>
      <w:t>8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9C" w:rsidRDefault="00396D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97" w:rsidRDefault="00790097">
      <w:r>
        <w:separator/>
      </w:r>
    </w:p>
    <w:p w:rsidR="00790097" w:rsidRDefault="00790097"/>
  </w:footnote>
  <w:footnote w:type="continuationSeparator" w:id="0">
    <w:p w:rsidR="00790097" w:rsidRDefault="00790097">
      <w:r>
        <w:continuationSeparator/>
      </w:r>
    </w:p>
    <w:p w:rsidR="00790097" w:rsidRDefault="007900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9C" w:rsidRDefault="00396D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396D9C">
      <w:rPr>
        <w:rFonts w:ascii="Verdana" w:hAnsi="Verdana"/>
        <w:sz w:val="20"/>
        <w:szCs w:val="20"/>
      </w:rPr>
      <w:t>75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37C0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3BC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488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D77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186A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10E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97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697A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0BC"/>
    <w:rsid w:val="003948A6"/>
    <w:rsid w:val="00394C07"/>
    <w:rsid w:val="00394C65"/>
    <w:rsid w:val="00394EF7"/>
    <w:rsid w:val="00395213"/>
    <w:rsid w:val="00396514"/>
    <w:rsid w:val="0039680B"/>
    <w:rsid w:val="00396D34"/>
    <w:rsid w:val="00396D9C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344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453"/>
    <w:rsid w:val="00532D67"/>
    <w:rsid w:val="00533A55"/>
    <w:rsid w:val="00534142"/>
    <w:rsid w:val="00534C5D"/>
    <w:rsid w:val="00534C7B"/>
    <w:rsid w:val="00535E56"/>
    <w:rsid w:val="00536177"/>
    <w:rsid w:val="0053700A"/>
    <w:rsid w:val="005400BB"/>
    <w:rsid w:val="00540BBF"/>
    <w:rsid w:val="00541943"/>
    <w:rsid w:val="0054263E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5237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C8E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2FF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570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067A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0097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C8B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0E92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18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301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541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2737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09B6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9A0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11E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938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4F6D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CA3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77A68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5957-38ED-43D6-A03F-D40EE4A4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3674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25672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74</cp:revision>
  <cp:lastPrinted>2024-10-03T07:43:00Z</cp:lastPrinted>
  <dcterms:created xsi:type="dcterms:W3CDTF">2024-05-09T11:23:00Z</dcterms:created>
  <dcterms:modified xsi:type="dcterms:W3CDTF">2024-10-03T07:43:00Z</dcterms:modified>
</cp:coreProperties>
</file>