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4319B">
        <w:rPr>
          <w:rFonts w:ascii="Verdana" w:eastAsia="Verdana" w:hAnsi="Verdana" w:cstheme="minorHAnsi"/>
          <w:b/>
          <w:sz w:val="20"/>
        </w:rPr>
        <w:t>01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C4319B">
        <w:rPr>
          <w:rFonts w:ascii="Verdana" w:eastAsia="Verdana" w:hAnsi="Verdana" w:cstheme="minorHAnsi"/>
          <w:b/>
          <w:sz w:val="20"/>
        </w:rPr>
        <w:t>5</w:t>
      </w:r>
      <w:bookmarkStart w:id="0" w:name="_GoBack"/>
      <w:bookmarkEnd w:id="0"/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D40437" w:rsidRPr="00D40437">
        <w:rPr>
          <w:rFonts w:ascii="Verdana" w:hAnsi="Verdana"/>
          <w:b/>
          <w:sz w:val="20"/>
          <w:szCs w:val="20"/>
        </w:rPr>
        <w:t>odczynników do molekularnej diagnostyki prątków gruźlicy wraz z dzierżawą analizatora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93" w:rsidRDefault="000D3893" w:rsidP="00047F36">
      <w:r>
        <w:separator/>
      </w:r>
    </w:p>
  </w:endnote>
  <w:endnote w:type="continuationSeparator" w:id="0">
    <w:p w:rsidR="000D3893" w:rsidRDefault="000D389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C4319B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C4319B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93" w:rsidRDefault="000D3893" w:rsidP="00047F36">
      <w:r>
        <w:separator/>
      </w:r>
    </w:p>
  </w:footnote>
  <w:footnote w:type="continuationSeparator" w:id="0">
    <w:p w:rsidR="000D3893" w:rsidRDefault="000D389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C4425"/>
    <w:rsid w:val="000D3893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87321"/>
    <w:rsid w:val="00191EFD"/>
    <w:rsid w:val="00194916"/>
    <w:rsid w:val="001962EC"/>
    <w:rsid w:val="001B41CA"/>
    <w:rsid w:val="001C1D28"/>
    <w:rsid w:val="001D466B"/>
    <w:rsid w:val="001F2E69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24E0E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319B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437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294F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17FB9-4C51-4007-B725-C553E048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54</cp:revision>
  <cp:lastPrinted>2024-06-04T05:37:00Z</cp:lastPrinted>
  <dcterms:created xsi:type="dcterms:W3CDTF">2021-03-22T12:03:00Z</dcterms:created>
  <dcterms:modified xsi:type="dcterms:W3CDTF">2025-01-02T08:00:00Z</dcterms:modified>
</cp:coreProperties>
</file>